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ind w:firstLine="880" w:firstLineChars="200"/>
        <w:rPr>
          <w:rFonts w:hint="eastAsia" w:ascii="仿宋_GB2312" w:hAnsi="仿宋" w:eastAsia="仿宋_GB2312" w:cs="仿宋"/>
          <w:sz w:val="32"/>
          <w:szCs w:val="32"/>
        </w:rPr>
      </w:pPr>
      <w:r>
        <w:rPr>
          <w:rFonts w:hint="eastAsia" w:ascii="方正大标宋简体" w:eastAsia="方正大标宋简体"/>
          <w:sz w:val="44"/>
          <w:szCs w:val="44"/>
        </w:rPr>
        <w:t>通创投公司税务审计</w:t>
      </w:r>
      <w:r>
        <w:rPr>
          <w:rFonts w:hint="eastAsia" w:ascii="方正大标宋简体" w:eastAsia="方正大标宋简体"/>
          <w:sz w:val="44"/>
          <w:szCs w:val="44"/>
          <w:lang w:eastAsia="zh-CN"/>
        </w:rPr>
        <w:t>招标文件</w:t>
      </w:r>
      <w:bookmarkStart w:id="0" w:name="_GoBack"/>
      <w:bookmarkEnd w:id="0"/>
    </w:p>
    <w:p>
      <w:pPr>
        <w:snapToGrid w:val="0"/>
        <w:spacing w:line="300" w:lineRule="auto"/>
        <w:outlineLvl w:val="0"/>
        <w:rPr>
          <w:rFonts w:ascii="黑体" w:hAnsi="黑体" w:eastAsia="黑体"/>
          <w:sz w:val="32"/>
          <w:szCs w:val="32"/>
        </w:rPr>
      </w:pPr>
      <w:r>
        <w:rPr>
          <w:rFonts w:hint="eastAsia" w:ascii="黑体" w:hAnsi="黑体" w:eastAsia="黑体"/>
          <w:sz w:val="32"/>
          <w:szCs w:val="32"/>
        </w:rPr>
        <w:t>一.报价者资格：</w:t>
      </w:r>
    </w:p>
    <w:p>
      <w:pPr>
        <w:snapToGrid w:val="0"/>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具有独立承担民事责任的能力；具有良好的商业信誉和健全的财务会计制度；具有履行合同所必需的设备和专业技术能力；有依法缴纳税收和社会保障资金的良好记录；在参加此项目活动前三年内，在经营活动中没有重大违法记录。</w:t>
      </w:r>
    </w:p>
    <w:p>
      <w:pPr>
        <w:spacing w:line="58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2.法定代表人为同一个人的两个及两个以上法人，母公司、全资子公司及其控股公司，都不得在同一采购项目相同标段中同时参加投标，一经发现，将视同围标处理。</w:t>
      </w:r>
    </w:p>
    <w:p>
      <w:pPr>
        <w:spacing w:line="58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3.有能力提供本次采购项目所要求的服务。</w:t>
      </w:r>
    </w:p>
    <w:p>
      <w:pPr>
        <w:spacing w:line="58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4.投标人具有行业主管部门颁发的税务师事务所执业证书。</w:t>
      </w:r>
    </w:p>
    <w:p>
      <w:pPr>
        <w:spacing w:line="58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5.投标人没有受到过财政、税务、审计、国有资产监督管理、证券监督管理等政府部门或各级注册税务师协会处罚（提供承诺书，格式自拟）。</w:t>
      </w:r>
    </w:p>
    <w:p>
      <w:pPr>
        <w:spacing w:line="58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6.本项目不接受任何形式的联合体投标。</w:t>
      </w:r>
    </w:p>
    <w:p>
      <w:pPr>
        <w:spacing w:line="58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7．投标人须为南通地区（大市）注册的税务师事务所。</w:t>
      </w:r>
    </w:p>
    <w:p>
      <w:pPr>
        <w:spacing w:line="58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8. 投标人须为中国注册税务师协会的A级（含）以上的税务师事务所。</w:t>
      </w:r>
    </w:p>
    <w:p>
      <w:pPr>
        <w:snapToGrid w:val="0"/>
        <w:spacing w:line="300" w:lineRule="auto"/>
        <w:outlineLvl w:val="0"/>
        <w:rPr>
          <w:rFonts w:hint="eastAsia" w:ascii="黑体" w:hAnsi="黑体" w:eastAsia="黑体"/>
          <w:sz w:val="32"/>
          <w:szCs w:val="32"/>
        </w:rPr>
      </w:pPr>
    </w:p>
    <w:p>
      <w:pPr>
        <w:snapToGrid w:val="0"/>
        <w:spacing w:line="300" w:lineRule="auto"/>
        <w:outlineLvl w:val="0"/>
        <w:rPr>
          <w:rFonts w:ascii="黑体" w:hAnsi="黑体" w:eastAsia="黑体"/>
          <w:sz w:val="32"/>
          <w:szCs w:val="32"/>
        </w:rPr>
      </w:pPr>
      <w:r>
        <w:rPr>
          <w:rFonts w:hint="eastAsia" w:ascii="黑体" w:hAnsi="黑体" w:eastAsia="黑体"/>
          <w:sz w:val="32"/>
          <w:szCs w:val="32"/>
        </w:rPr>
        <w:t>二、评审评分标准</w:t>
      </w:r>
    </w:p>
    <w:p>
      <w:pPr>
        <w:spacing w:line="580" w:lineRule="exact"/>
        <w:ind w:firstLine="640" w:firstLineChars="200"/>
        <w:rPr>
          <w:rFonts w:hint="eastAsia" w:ascii="仿宋_GB2312" w:eastAsia="仿宋_GB2312"/>
          <w:sz w:val="32"/>
          <w:szCs w:val="32"/>
        </w:rPr>
      </w:pP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（一）技术标评分：（70分）</w:t>
      </w:r>
    </w:p>
    <w:tbl>
      <w:tblPr>
        <w:tblStyle w:val="2"/>
        <w:tblW w:w="9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1227"/>
        <w:gridCol w:w="7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580" w:lineRule="exact"/>
              <w:rPr>
                <w:rFonts w:ascii="仿宋_GB2312" w:eastAsia="仿宋_GB2312"/>
                <w:sz w:val="28"/>
                <w:szCs w:val="28"/>
              </w:rPr>
            </w:pPr>
            <w:r>
              <w:rPr>
                <w:rFonts w:hint="eastAsia" w:ascii="仿宋_GB2312" w:eastAsia="仿宋_GB2312"/>
                <w:sz w:val="28"/>
                <w:szCs w:val="28"/>
              </w:rPr>
              <w:t>序号</w:t>
            </w:r>
          </w:p>
        </w:tc>
        <w:tc>
          <w:tcPr>
            <w:tcW w:w="1227" w:type="dxa"/>
            <w:tcBorders>
              <w:top w:val="single" w:color="auto" w:sz="4" w:space="0"/>
              <w:left w:val="single" w:color="auto" w:sz="4" w:space="0"/>
              <w:bottom w:val="single" w:color="auto" w:sz="4" w:space="0"/>
              <w:right w:val="single" w:color="auto" w:sz="4" w:space="0"/>
            </w:tcBorders>
            <w:vAlign w:val="center"/>
          </w:tcPr>
          <w:p>
            <w:pPr>
              <w:spacing w:line="580" w:lineRule="exact"/>
              <w:rPr>
                <w:rFonts w:ascii="仿宋_GB2312" w:eastAsia="仿宋_GB2312"/>
                <w:sz w:val="28"/>
                <w:szCs w:val="28"/>
              </w:rPr>
            </w:pPr>
            <w:r>
              <w:rPr>
                <w:rFonts w:hint="eastAsia" w:ascii="仿宋_GB2312" w:eastAsia="仿宋_GB2312"/>
                <w:sz w:val="28"/>
                <w:szCs w:val="28"/>
              </w:rPr>
              <w:t>评定项目</w:t>
            </w:r>
          </w:p>
        </w:tc>
        <w:tc>
          <w:tcPr>
            <w:tcW w:w="7159" w:type="dxa"/>
            <w:tcBorders>
              <w:top w:val="single" w:color="auto" w:sz="4" w:space="0"/>
              <w:left w:val="single" w:color="auto" w:sz="4" w:space="0"/>
              <w:bottom w:val="single" w:color="auto" w:sz="4" w:space="0"/>
              <w:right w:val="single" w:color="auto" w:sz="4" w:space="0"/>
            </w:tcBorders>
            <w:vAlign w:val="center"/>
          </w:tcPr>
          <w:p>
            <w:pPr>
              <w:spacing w:line="580" w:lineRule="exact"/>
              <w:ind w:firstLine="560" w:firstLineChars="200"/>
              <w:rPr>
                <w:rFonts w:ascii="仿宋_GB2312" w:eastAsia="仿宋_GB2312"/>
                <w:sz w:val="28"/>
                <w:szCs w:val="28"/>
              </w:rPr>
            </w:pPr>
            <w:r>
              <w:rPr>
                <w:rFonts w:hint="eastAsia" w:ascii="仿宋_GB2312" w:eastAsia="仿宋_GB2312"/>
                <w:sz w:val="28"/>
                <w:szCs w:val="28"/>
              </w:rPr>
              <w:t>评定方法和说明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580" w:lineRule="exact"/>
              <w:ind w:firstLine="560" w:firstLineChars="200"/>
              <w:rPr>
                <w:rFonts w:ascii="仿宋_GB2312" w:eastAsia="仿宋_GB2312"/>
                <w:sz w:val="28"/>
                <w:szCs w:val="28"/>
              </w:rPr>
            </w:pPr>
            <w:r>
              <w:rPr>
                <w:rFonts w:hint="eastAsia" w:ascii="仿宋_GB2312" w:eastAsia="仿宋_GB2312"/>
                <w:sz w:val="28"/>
                <w:szCs w:val="28"/>
              </w:rPr>
              <w:t>1</w:t>
            </w:r>
          </w:p>
        </w:tc>
        <w:tc>
          <w:tcPr>
            <w:tcW w:w="1227" w:type="dxa"/>
            <w:tcBorders>
              <w:top w:val="single" w:color="auto" w:sz="4" w:space="0"/>
              <w:left w:val="single" w:color="auto" w:sz="4" w:space="0"/>
              <w:bottom w:val="single" w:color="auto" w:sz="4" w:space="0"/>
              <w:right w:val="single" w:color="auto" w:sz="4" w:space="0"/>
            </w:tcBorders>
            <w:vAlign w:val="center"/>
          </w:tcPr>
          <w:p>
            <w:pPr>
              <w:spacing w:line="580" w:lineRule="exact"/>
              <w:rPr>
                <w:rFonts w:ascii="仿宋_GB2312" w:eastAsia="仿宋_GB2312"/>
                <w:sz w:val="28"/>
                <w:szCs w:val="28"/>
              </w:rPr>
            </w:pPr>
            <w:r>
              <w:rPr>
                <w:rFonts w:hint="eastAsia" w:ascii="仿宋_GB2312" w:eastAsia="仿宋_GB2312"/>
                <w:sz w:val="28"/>
                <w:szCs w:val="28"/>
              </w:rPr>
              <w:t>企业荣誉</w:t>
            </w:r>
          </w:p>
          <w:p>
            <w:pPr>
              <w:spacing w:line="580" w:lineRule="exact"/>
              <w:rPr>
                <w:rFonts w:ascii="仿宋_GB2312" w:eastAsia="仿宋_GB2312"/>
                <w:sz w:val="28"/>
                <w:szCs w:val="28"/>
              </w:rPr>
            </w:pPr>
            <w:r>
              <w:rPr>
                <w:rFonts w:hint="eastAsia" w:ascii="仿宋_GB2312" w:eastAsia="仿宋_GB2312"/>
                <w:sz w:val="28"/>
                <w:szCs w:val="28"/>
              </w:rPr>
              <w:t>（5分）</w:t>
            </w:r>
          </w:p>
        </w:tc>
        <w:tc>
          <w:tcPr>
            <w:tcW w:w="7159" w:type="dxa"/>
            <w:tcBorders>
              <w:top w:val="single" w:color="auto" w:sz="4" w:space="0"/>
              <w:left w:val="single" w:color="auto" w:sz="4" w:space="0"/>
              <w:bottom w:val="single" w:color="auto" w:sz="4" w:space="0"/>
              <w:right w:val="single" w:color="auto" w:sz="4" w:space="0"/>
            </w:tcBorders>
            <w:vAlign w:val="center"/>
          </w:tcPr>
          <w:p>
            <w:pPr>
              <w:spacing w:line="580" w:lineRule="exact"/>
              <w:ind w:firstLine="560" w:firstLineChars="200"/>
              <w:rPr>
                <w:rFonts w:ascii="仿宋_GB2312" w:eastAsia="仿宋_GB2312"/>
                <w:sz w:val="28"/>
                <w:szCs w:val="28"/>
              </w:rPr>
            </w:pPr>
            <w:r>
              <w:rPr>
                <w:rFonts w:hint="eastAsia" w:ascii="仿宋_GB2312" w:eastAsia="仿宋_GB2312"/>
                <w:sz w:val="28"/>
                <w:szCs w:val="28"/>
              </w:rPr>
              <w:t>投标人取得中国注册税务师协会的A级税务师事务所得1分、取得AA级税务师事务所得2分、取得AAA级税务师事务所得3分、取得AAAA级税务师事务所得4分、取得AAAAA级税务师事务所得5分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2" w:type="dxa"/>
            <w:vMerge w:val="restart"/>
            <w:tcBorders>
              <w:top w:val="nil"/>
              <w:left w:val="single" w:color="auto" w:sz="4" w:space="0"/>
              <w:bottom w:val="single" w:color="auto" w:sz="4" w:space="0"/>
              <w:right w:val="single" w:color="auto" w:sz="4" w:space="0"/>
            </w:tcBorders>
            <w:vAlign w:val="center"/>
          </w:tcPr>
          <w:p>
            <w:pPr>
              <w:spacing w:line="580" w:lineRule="exact"/>
              <w:ind w:firstLine="560" w:firstLineChars="200"/>
              <w:rPr>
                <w:rFonts w:ascii="仿宋_GB2312" w:eastAsia="仿宋_GB2312"/>
                <w:sz w:val="28"/>
                <w:szCs w:val="28"/>
              </w:rPr>
            </w:pPr>
            <w:r>
              <w:rPr>
                <w:rFonts w:hint="eastAsia" w:ascii="仿宋_GB2312" w:eastAsia="仿宋_GB2312"/>
                <w:sz w:val="28"/>
                <w:szCs w:val="28"/>
              </w:rPr>
              <w:t>2</w:t>
            </w:r>
          </w:p>
        </w:tc>
        <w:tc>
          <w:tcPr>
            <w:tcW w:w="1227" w:type="dxa"/>
            <w:vMerge w:val="restart"/>
            <w:tcBorders>
              <w:top w:val="nil"/>
              <w:left w:val="single" w:color="auto" w:sz="4" w:space="0"/>
              <w:bottom w:val="single" w:color="auto" w:sz="4" w:space="0"/>
              <w:right w:val="single" w:color="auto" w:sz="4" w:space="0"/>
            </w:tcBorders>
            <w:vAlign w:val="center"/>
          </w:tcPr>
          <w:p>
            <w:pPr>
              <w:spacing w:line="580" w:lineRule="exact"/>
              <w:rPr>
                <w:rFonts w:ascii="仿宋_GB2312" w:eastAsia="仿宋_GB2312"/>
                <w:sz w:val="28"/>
                <w:szCs w:val="28"/>
              </w:rPr>
            </w:pPr>
            <w:r>
              <w:rPr>
                <w:rFonts w:hint="eastAsia" w:ascii="仿宋_GB2312" w:eastAsia="仿宋_GB2312"/>
                <w:sz w:val="28"/>
                <w:szCs w:val="28"/>
              </w:rPr>
              <w:t>拟派人员</w:t>
            </w:r>
          </w:p>
          <w:p>
            <w:pPr>
              <w:spacing w:line="580" w:lineRule="exact"/>
              <w:ind w:firstLine="560" w:firstLineChars="200"/>
              <w:rPr>
                <w:rFonts w:hint="eastAsia" w:ascii="仿宋_GB2312" w:eastAsia="仿宋_GB2312"/>
                <w:sz w:val="28"/>
                <w:szCs w:val="28"/>
              </w:rPr>
            </w:pPr>
          </w:p>
          <w:p>
            <w:pPr>
              <w:spacing w:line="580" w:lineRule="exact"/>
              <w:rPr>
                <w:rFonts w:ascii="仿宋_GB2312" w:eastAsia="仿宋_GB2312"/>
                <w:sz w:val="28"/>
                <w:szCs w:val="28"/>
              </w:rPr>
            </w:pPr>
            <w:r>
              <w:rPr>
                <w:rFonts w:hint="eastAsia" w:ascii="仿宋_GB2312" w:eastAsia="仿宋_GB2312"/>
                <w:sz w:val="28"/>
                <w:szCs w:val="28"/>
              </w:rPr>
              <w:t>（10分）</w:t>
            </w:r>
          </w:p>
        </w:tc>
        <w:tc>
          <w:tcPr>
            <w:tcW w:w="7159" w:type="dxa"/>
            <w:tcBorders>
              <w:top w:val="single" w:color="auto" w:sz="4" w:space="0"/>
              <w:left w:val="single" w:color="auto" w:sz="4" w:space="0"/>
              <w:bottom w:val="single" w:color="auto" w:sz="4" w:space="0"/>
              <w:right w:val="single" w:color="auto" w:sz="4" w:space="0"/>
            </w:tcBorders>
            <w:vAlign w:val="center"/>
          </w:tcPr>
          <w:p>
            <w:pPr>
              <w:spacing w:line="580" w:lineRule="exact"/>
              <w:ind w:firstLine="560" w:firstLineChars="200"/>
              <w:rPr>
                <w:rFonts w:ascii="仿宋_GB2312" w:eastAsia="仿宋_GB2312"/>
                <w:sz w:val="28"/>
                <w:szCs w:val="28"/>
              </w:rPr>
            </w:pPr>
            <w:r>
              <w:rPr>
                <w:rFonts w:hint="eastAsia" w:ascii="仿宋_GB2312" w:eastAsia="仿宋_GB2312"/>
                <w:sz w:val="28"/>
                <w:szCs w:val="28"/>
              </w:rPr>
              <w:t xml:space="preserve">投标人拟派项目负责人为具有8年及以上执业经验的注册税务师，得5分。（提供项目负责人注册税务师执业证书为准及社保机构出具并盖章的投标人为拟派本项目人员缴纳2023年9月-2024年2月连续六个月的养老保险缴费清单复印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932"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sz w:val="28"/>
                <w:szCs w:val="28"/>
              </w:rPr>
            </w:pPr>
          </w:p>
        </w:tc>
        <w:tc>
          <w:tcPr>
            <w:tcW w:w="122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sz w:val="28"/>
                <w:szCs w:val="28"/>
              </w:rPr>
            </w:pPr>
          </w:p>
        </w:tc>
        <w:tc>
          <w:tcPr>
            <w:tcW w:w="7159" w:type="dxa"/>
            <w:tcBorders>
              <w:top w:val="single" w:color="auto" w:sz="4" w:space="0"/>
              <w:left w:val="single" w:color="auto" w:sz="4" w:space="0"/>
              <w:bottom w:val="single" w:color="auto" w:sz="4" w:space="0"/>
              <w:right w:val="single" w:color="auto" w:sz="4" w:space="0"/>
            </w:tcBorders>
            <w:vAlign w:val="center"/>
          </w:tcPr>
          <w:p>
            <w:pPr>
              <w:spacing w:line="580" w:lineRule="exact"/>
              <w:ind w:firstLine="560" w:firstLineChars="200"/>
              <w:rPr>
                <w:rFonts w:ascii="仿宋_GB2312" w:eastAsia="仿宋_GB2312"/>
                <w:sz w:val="28"/>
                <w:szCs w:val="28"/>
              </w:rPr>
            </w:pPr>
            <w:r>
              <w:rPr>
                <w:rFonts w:hint="eastAsia" w:ascii="仿宋_GB2312" w:eastAsia="仿宋_GB2312"/>
                <w:sz w:val="28"/>
                <w:szCs w:val="28"/>
              </w:rPr>
              <w:t xml:space="preserve">投标人拟派项目组成员（除项目负责人外）须为具有5年及以上执业经验的注册税务师，每1人得1分，最高5分，（提供项目组成员注册税务师执业证书为准及社保机构出具并盖章的投标人为拟派本项目人员缴纳2023年9月-2024年2月连续六个月的养老保险缴费清单复印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0"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580" w:lineRule="exact"/>
              <w:ind w:firstLine="560" w:firstLineChars="200"/>
              <w:rPr>
                <w:rFonts w:ascii="仿宋_GB2312" w:eastAsia="仿宋_GB2312"/>
                <w:sz w:val="28"/>
                <w:szCs w:val="28"/>
              </w:rPr>
            </w:pPr>
            <w:r>
              <w:rPr>
                <w:rFonts w:hint="eastAsia" w:ascii="仿宋_GB2312" w:eastAsia="仿宋_GB2312"/>
                <w:sz w:val="28"/>
                <w:szCs w:val="28"/>
              </w:rPr>
              <w:t>3</w:t>
            </w:r>
          </w:p>
        </w:tc>
        <w:tc>
          <w:tcPr>
            <w:tcW w:w="1227" w:type="dxa"/>
            <w:tcBorders>
              <w:top w:val="single" w:color="auto" w:sz="4" w:space="0"/>
              <w:left w:val="single" w:color="auto" w:sz="4" w:space="0"/>
              <w:bottom w:val="single" w:color="auto" w:sz="4" w:space="0"/>
              <w:right w:val="single" w:color="auto" w:sz="4" w:space="0"/>
            </w:tcBorders>
            <w:vAlign w:val="center"/>
          </w:tcPr>
          <w:p>
            <w:pPr>
              <w:spacing w:line="580" w:lineRule="exact"/>
              <w:rPr>
                <w:rFonts w:ascii="仿宋_GB2312" w:eastAsia="仿宋_GB2312"/>
                <w:sz w:val="28"/>
                <w:szCs w:val="28"/>
              </w:rPr>
            </w:pPr>
            <w:r>
              <w:rPr>
                <w:rFonts w:hint="eastAsia" w:ascii="仿宋_GB2312" w:eastAsia="仿宋_GB2312"/>
                <w:sz w:val="28"/>
                <w:szCs w:val="28"/>
              </w:rPr>
              <w:t>业绩</w:t>
            </w:r>
          </w:p>
          <w:p>
            <w:pPr>
              <w:spacing w:line="580" w:lineRule="exact"/>
              <w:rPr>
                <w:rFonts w:ascii="仿宋_GB2312" w:eastAsia="仿宋_GB2312"/>
                <w:sz w:val="28"/>
                <w:szCs w:val="28"/>
              </w:rPr>
            </w:pPr>
            <w:r>
              <w:rPr>
                <w:rFonts w:hint="eastAsia" w:ascii="仿宋_GB2312" w:eastAsia="仿宋_GB2312"/>
                <w:sz w:val="28"/>
                <w:szCs w:val="28"/>
              </w:rPr>
              <w:t>（15分）</w:t>
            </w:r>
          </w:p>
        </w:tc>
        <w:tc>
          <w:tcPr>
            <w:tcW w:w="7159" w:type="dxa"/>
            <w:tcBorders>
              <w:top w:val="single" w:color="auto" w:sz="4" w:space="0"/>
              <w:left w:val="single" w:color="auto" w:sz="4" w:space="0"/>
              <w:bottom w:val="single" w:color="auto" w:sz="4" w:space="0"/>
              <w:right w:val="single" w:color="auto" w:sz="4" w:space="0"/>
            </w:tcBorders>
            <w:vAlign w:val="center"/>
          </w:tcPr>
          <w:p>
            <w:pPr>
              <w:spacing w:line="580" w:lineRule="exact"/>
              <w:ind w:firstLine="560" w:firstLineChars="200"/>
              <w:rPr>
                <w:rFonts w:ascii="仿宋_GB2312" w:eastAsia="仿宋_GB2312"/>
                <w:sz w:val="28"/>
                <w:szCs w:val="28"/>
              </w:rPr>
            </w:pPr>
            <w:r>
              <w:rPr>
                <w:rFonts w:hint="eastAsia" w:ascii="仿宋_GB2312" w:eastAsia="仿宋_GB2312"/>
                <w:sz w:val="28"/>
                <w:szCs w:val="28"/>
              </w:rPr>
              <w:t>对投标人近3年承担过的国有企业、大型房地产企业税务咨询及代理服务工作的业绩进行评分：3分/项目，最高15分。（本项评审以2020-2022年度委托合同为准）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932" w:type="dxa"/>
            <w:vMerge w:val="restart"/>
            <w:tcBorders>
              <w:top w:val="nil"/>
              <w:left w:val="single" w:color="auto" w:sz="4" w:space="0"/>
              <w:bottom w:val="single" w:color="auto" w:sz="4" w:space="0"/>
              <w:right w:val="single" w:color="auto" w:sz="4" w:space="0"/>
            </w:tcBorders>
            <w:vAlign w:val="center"/>
          </w:tcPr>
          <w:p>
            <w:pPr>
              <w:spacing w:line="580" w:lineRule="exact"/>
              <w:ind w:firstLine="560" w:firstLineChars="200"/>
              <w:rPr>
                <w:rFonts w:ascii="仿宋_GB2312" w:eastAsia="仿宋_GB2312"/>
                <w:sz w:val="28"/>
                <w:szCs w:val="28"/>
              </w:rPr>
            </w:pPr>
            <w:r>
              <w:rPr>
                <w:rFonts w:hint="eastAsia" w:ascii="仿宋_GB2312" w:eastAsia="仿宋_GB2312"/>
                <w:sz w:val="28"/>
                <w:szCs w:val="28"/>
              </w:rPr>
              <w:t>4</w:t>
            </w:r>
          </w:p>
        </w:tc>
        <w:tc>
          <w:tcPr>
            <w:tcW w:w="1227" w:type="dxa"/>
            <w:vMerge w:val="restart"/>
            <w:tcBorders>
              <w:top w:val="nil"/>
              <w:left w:val="single" w:color="auto" w:sz="4" w:space="0"/>
              <w:bottom w:val="single" w:color="auto" w:sz="4" w:space="0"/>
              <w:right w:val="single" w:color="auto" w:sz="4" w:space="0"/>
            </w:tcBorders>
            <w:vAlign w:val="center"/>
          </w:tcPr>
          <w:p>
            <w:pPr>
              <w:spacing w:line="580" w:lineRule="exact"/>
              <w:rPr>
                <w:rFonts w:ascii="仿宋_GB2312" w:eastAsia="仿宋_GB2312"/>
                <w:sz w:val="28"/>
                <w:szCs w:val="28"/>
              </w:rPr>
            </w:pPr>
            <w:r>
              <w:rPr>
                <w:rFonts w:hint="eastAsia" w:ascii="仿宋_GB2312" w:eastAsia="仿宋_GB2312"/>
                <w:sz w:val="28"/>
                <w:szCs w:val="28"/>
              </w:rPr>
              <w:t>税务代理方案及服务承诺</w:t>
            </w:r>
          </w:p>
          <w:p>
            <w:pPr>
              <w:spacing w:line="580" w:lineRule="exact"/>
              <w:rPr>
                <w:rFonts w:ascii="仿宋_GB2312" w:eastAsia="仿宋_GB2312"/>
                <w:sz w:val="28"/>
                <w:szCs w:val="28"/>
              </w:rPr>
            </w:pPr>
            <w:r>
              <w:rPr>
                <w:rFonts w:hint="eastAsia" w:ascii="仿宋_GB2312" w:eastAsia="仿宋_GB2312"/>
                <w:sz w:val="28"/>
                <w:szCs w:val="28"/>
              </w:rPr>
              <w:t>（40分）</w:t>
            </w:r>
          </w:p>
        </w:tc>
        <w:tc>
          <w:tcPr>
            <w:tcW w:w="7159" w:type="dxa"/>
            <w:tcBorders>
              <w:top w:val="single" w:color="auto" w:sz="4" w:space="0"/>
              <w:left w:val="single" w:color="auto" w:sz="4" w:space="0"/>
              <w:bottom w:val="single" w:color="auto" w:sz="4" w:space="0"/>
              <w:right w:val="single" w:color="auto" w:sz="4" w:space="0"/>
            </w:tcBorders>
            <w:vAlign w:val="center"/>
          </w:tcPr>
          <w:p>
            <w:pPr>
              <w:spacing w:line="580" w:lineRule="exact"/>
              <w:ind w:firstLine="560" w:firstLineChars="200"/>
              <w:rPr>
                <w:rFonts w:ascii="仿宋_GB2312" w:eastAsia="仿宋_GB2312"/>
                <w:sz w:val="28"/>
                <w:szCs w:val="28"/>
              </w:rPr>
            </w:pPr>
            <w:r>
              <w:rPr>
                <w:rFonts w:hint="eastAsia" w:ascii="仿宋_GB2312" w:eastAsia="仿宋_GB2312"/>
                <w:sz w:val="28"/>
                <w:szCs w:val="28"/>
              </w:rPr>
              <w:t>根据投标人提供的税务咨询及代理方案进行评定，分优良中差等级。优得25-30分，良得16-24分，中得1-15分。无税务代理方案或方案不具体的，该项不得分。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932"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sz w:val="28"/>
                <w:szCs w:val="28"/>
              </w:rPr>
            </w:pPr>
          </w:p>
        </w:tc>
        <w:tc>
          <w:tcPr>
            <w:tcW w:w="122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sz w:val="28"/>
                <w:szCs w:val="28"/>
              </w:rPr>
            </w:pPr>
          </w:p>
        </w:tc>
        <w:tc>
          <w:tcPr>
            <w:tcW w:w="7159" w:type="dxa"/>
            <w:tcBorders>
              <w:top w:val="single" w:color="auto" w:sz="4" w:space="0"/>
              <w:left w:val="single" w:color="auto" w:sz="4" w:space="0"/>
              <w:bottom w:val="single" w:color="auto" w:sz="4" w:space="0"/>
              <w:right w:val="single" w:color="auto" w:sz="4" w:space="0"/>
            </w:tcBorders>
            <w:vAlign w:val="center"/>
          </w:tcPr>
          <w:p>
            <w:pPr>
              <w:spacing w:line="580" w:lineRule="exact"/>
              <w:ind w:firstLine="560" w:firstLineChars="200"/>
              <w:rPr>
                <w:rFonts w:ascii="仿宋_GB2312" w:eastAsia="仿宋_GB2312"/>
                <w:sz w:val="28"/>
                <w:szCs w:val="28"/>
              </w:rPr>
            </w:pPr>
            <w:r>
              <w:rPr>
                <w:rFonts w:hint="eastAsia" w:ascii="仿宋_GB2312" w:eastAsia="仿宋_GB2312"/>
                <w:sz w:val="28"/>
                <w:szCs w:val="28"/>
              </w:rPr>
              <w:t>根据投标人提供的服务承诺进行评定，分优良中差等级。优得6-10分，良得3-5分，中得1-2分。无服务承诺或服务承诺不具体的，该项不得分。</w:t>
            </w:r>
          </w:p>
        </w:tc>
      </w:tr>
    </w:tbl>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（二）商务标评分：（30分）</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a、确定有效报价：投标报价低于招标人设定的招标控制价为有效报价（高于或等于招标控制价的投标报价作废标处理），本项目招标控制价为18万元。</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b、无效报价、被宣布为废标的投标报价不参与评标基准价的计算。</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c、评标基准价为所有有效投标报价的算术平均值。</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d、投标报价与评标基准价相等的得30分。</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各投标人的投标报价与评标基准价相比较，每上浮1%扣0.9分，每下浮1%扣0.6分。不足1%的，采用插入法，得分保留小数点后两位。</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评标结束后，除确认存在计算错误外，各分项评标基准价不因招投标当事人质疑、投诉、复议以及其它任何情形而改变。</w:t>
      </w:r>
    </w:p>
    <w:p>
      <w:pPr>
        <w:snapToGrid w:val="0"/>
        <w:spacing w:line="300" w:lineRule="auto"/>
        <w:outlineLvl w:val="0"/>
        <w:rPr>
          <w:rFonts w:eastAsia="黑体"/>
          <w:sz w:val="32"/>
          <w:szCs w:val="32"/>
        </w:rPr>
      </w:pPr>
      <w:r>
        <w:rPr>
          <w:rFonts w:hint="eastAsia" w:ascii="黑体" w:hAnsi="黑体" w:eastAsia="黑体"/>
          <w:sz w:val="32"/>
          <w:szCs w:val="32"/>
        </w:rPr>
        <w:t>三、投标文件组成</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投标文件由资格审查文件、商务技术文件、报价文件三部分组成，相关格式参见附件。</w:t>
      </w:r>
    </w:p>
    <w:p>
      <w:pPr>
        <w:spacing w:line="580" w:lineRule="exact"/>
        <w:ind w:firstLine="643" w:firstLineChars="200"/>
        <w:rPr>
          <w:rFonts w:hint="eastAsia" w:ascii="仿宋_GB2312" w:eastAsia="仿宋_GB2312"/>
          <w:b/>
          <w:bCs/>
          <w:sz w:val="32"/>
          <w:szCs w:val="32"/>
        </w:rPr>
      </w:pPr>
      <w:r>
        <w:rPr>
          <w:rFonts w:hint="eastAsia" w:ascii="仿宋_GB2312" w:eastAsia="仿宋_GB2312"/>
          <w:b/>
          <w:bCs/>
          <w:sz w:val="32"/>
          <w:szCs w:val="32"/>
        </w:rPr>
        <w:t>一、资格审查文件（不能出现报价、商务技术文件）</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1、有效的关于资格的声明函；</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2、法定代表人身份证明书（提供复印件并加盖公章）；</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3、法定代表人授权委托书原件（如有授权），投标代表本人身份证复印件；</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4、有效的营业执照复印件；</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5、有效的食品经营许可证复印件；</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6、有效的投标人声明函原件；</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7、招标公告资格要求提供相应的佐证材料；</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8、其它需要提交的资格审查证明材料。</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注：以上材料均需加盖公章，如为复印件，须为有效原件的复印件，否则按资格审查不通过处理。</w:t>
      </w:r>
    </w:p>
    <w:p>
      <w:pPr>
        <w:spacing w:line="580" w:lineRule="exact"/>
        <w:ind w:firstLine="643" w:firstLineChars="200"/>
        <w:rPr>
          <w:rFonts w:hint="eastAsia" w:ascii="仿宋_GB2312" w:eastAsia="仿宋_GB2312"/>
          <w:b/>
          <w:bCs/>
          <w:sz w:val="32"/>
          <w:szCs w:val="32"/>
        </w:rPr>
      </w:pPr>
      <w:r>
        <w:rPr>
          <w:rFonts w:hint="eastAsia" w:ascii="仿宋_GB2312" w:eastAsia="仿宋_GB2312"/>
          <w:b/>
          <w:bCs/>
          <w:sz w:val="32"/>
          <w:szCs w:val="32"/>
        </w:rPr>
        <w:t>二、商务技术文件（不能出现报价）</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1、投标响应函；</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2、评审评分项技术响应评分中所涉及的事项需提供的所有资料；</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3、评审评分项中未涉及的事项，投标人认为需要提交的其他资料；</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4、招标文件中要求提供的其他材料。</w:t>
      </w:r>
    </w:p>
    <w:p>
      <w:pPr>
        <w:spacing w:line="580" w:lineRule="exact"/>
        <w:ind w:firstLine="643" w:firstLineChars="200"/>
        <w:rPr>
          <w:rFonts w:hint="eastAsia" w:ascii="仿宋_GB2312" w:eastAsia="仿宋_GB2312"/>
          <w:b/>
          <w:bCs/>
          <w:sz w:val="32"/>
          <w:szCs w:val="32"/>
        </w:rPr>
      </w:pPr>
      <w:r>
        <w:rPr>
          <w:rFonts w:hint="eastAsia" w:ascii="仿宋_GB2312" w:eastAsia="仿宋_GB2312"/>
          <w:b/>
          <w:bCs/>
          <w:sz w:val="32"/>
          <w:szCs w:val="32"/>
        </w:rPr>
        <w:t>三、报价文件</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1、开标一览表。</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项目名称</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投标文件</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对应投标文件填写：资格审查文件</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对应投标文件填写：商务技术文件</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对应投标文件填写：报价文件</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（资格后审）</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投标供应商：参加投标供应商全称（公章）</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日  期：      年  月  日</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k4ZWJiYmZmMDY5ZTM3OGJiZmIzYjdlNGZmNDdjOTIifQ=="/>
  </w:docVars>
  <w:rsids>
    <w:rsidRoot w:val="000D0DAD"/>
    <w:rsid w:val="000D0DAD"/>
    <w:rsid w:val="001A7BBD"/>
    <w:rsid w:val="002B39B7"/>
    <w:rsid w:val="007D057B"/>
    <w:rsid w:val="00F533FA"/>
    <w:rsid w:val="66675D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首行缩进"/>
    <w:basedOn w:val="1"/>
    <w:next w:val="1"/>
    <w:uiPriority w:val="0"/>
    <w:pPr>
      <w:ind w:firstLine="48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276</Words>
  <Characters>1575</Characters>
  <Lines>13</Lines>
  <Paragraphs>3</Paragraphs>
  <TotalTime>0</TotalTime>
  <ScaleCrop>false</ScaleCrop>
  <LinksUpToDate>false</LinksUpToDate>
  <CharactersWithSpaces>1848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2024-04-03T08:37:00Z</dcterms:created>
  <dc:creator>NTKO</dc:creator>
  <cp:lastModifiedBy>花儿</cp:lastModifiedBy>
  <dcterms:modified xsi:type="dcterms:W3CDTF">2024-04-03T08:44:54Z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E79A7AEE15034FBE8AA382D93D7D4A8D_12</vt:lpwstr>
  </property>
</Properties>
</file>