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color w:val="auto"/>
          <w:sz w:val="48"/>
          <w:szCs w:val="48"/>
          <w:highlight w:val="none"/>
        </w:rPr>
      </w:pPr>
    </w:p>
    <w:p>
      <w:pPr>
        <w:spacing w:line="360" w:lineRule="auto"/>
        <w:jc w:val="center"/>
        <w:rPr>
          <w:rFonts w:hint="eastAsia" w:ascii="Times New Roman" w:hAnsi="Times New Roman" w:eastAsia="宋体"/>
          <w:b/>
          <w:color w:val="auto"/>
          <w:sz w:val="52"/>
          <w:szCs w:val="52"/>
          <w:highlight w:val="none"/>
          <w:lang w:eastAsia="zh-CN"/>
        </w:rPr>
      </w:pPr>
      <w:r>
        <w:rPr>
          <w:rFonts w:hint="eastAsia" w:ascii="Times New Roman" w:hAnsi="Times New Roman"/>
          <w:b/>
          <w:color w:val="auto"/>
          <w:sz w:val="52"/>
          <w:szCs w:val="52"/>
          <w:highlight w:val="none"/>
          <w:lang w:eastAsia="zh-CN"/>
        </w:rPr>
        <w:t>南通创新区通沪大道以</w:t>
      </w:r>
      <w:bookmarkStart w:id="71" w:name="_GoBack"/>
      <w:bookmarkEnd w:id="71"/>
      <w:r>
        <w:rPr>
          <w:rFonts w:hint="eastAsia" w:ascii="Times New Roman" w:hAnsi="Times New Roman"/>
          <w:b/>
          <w:color w:val="auto"/>
          <w:sz w:val="52"/>
          <w:szCs w:val="52"/>
          <w:highlight w:val="none"/>
          <w:lang w:eastAsia="zh-CN"/>
        </w:rPr>
        <w:t>北区域部分照明设施电子测绘</w:t>
      </w:r>
    </w:p>
    <w:p>
      <w:pPr>
        <w:spacing w:line="360" w:lineRule="auto"/>
        <w:jc w:val="center"/>
        <w:rPr>
          <w:rFonts w:ascii="Times New Roman" w:hAnsi="Times New Roman" w:eastAsia="黑体"/>
          <w:color w:val="auto"/>
          <w:sz w:val="72"/>
          <w:szCs w:val="72"/>
          <w:highlight w:val="none"/>
        </w:rPr>
      </w:pPr>
    </w:p>
    <w:p>
      <w:pPr>
        <w:spacing w:line="360" w:lineRule="auto"/>
        <w:jc w:val="center"/>
        <w:rPr>
          <w:rFonts w:ascii="Times New Roman" w:hAnsi="Times New Roman"/>
          <w:b/>
          <w:color w:val="auto"/>
          <w:sz w:val="84"/>
          <w:szCs w:val="84"/>
          <w:highlight w:val="none"/>
        </w:rPr>
      </w:pPr>
    </w:p>
    <w:p>
      <w:pPr>
        <w:spacing w:line="360" w:lineRule="auto"/>
        <w:jc w:val="center"/>
        <w:rPr>
          <w:rFonts w:ascii="Times New Roman" w:hAnsi="Times New Roman"/>
          <w:b/>
          <w:color w:val="auto"/>
          <w:sz w:val="84"/>
          <w:szCs w:val="84"/>
          <w:highlight w:val="none"/>
        </w:rPr>
      </w:pPr>
      <w:r>
        <w:rPr>
          <w:rFonts w:ascii="Times New Roman" w:hAnsi="Times New Roman"/>
          <w:b/>
          <w:color w:val="auto"/>
          <w:sz w:val="84"/>
          <w:szCs w:val="84"/>
          <w:highlight w:val="none"/>
        </w:rPr>
        <w:t>招标文件</w:t>
      </w:r>
    </w:p>
    <w:p>
      <w:pPr>
        <w:spacing w:line="360" w:lineRule="auto"/>
        <w:jc w:val="center"/>
        <w:rPr>
          <w:rFonts w:ascii="Times New Roman" w:hAnsi="Times New Roman"/>
          <w:b/>
          <w:color w:val="auto"/>
          <w:sz w:val="44"/>
          <w:szCs w:val="48"/>
          <w:highlight w:val="none"/>
        </w:rPr>
      </w:pPr>
    </w:p>
    <w:p>
      <w:pPr>
        <w:spacing w:line="360" w:lineRule="auto"/>
        <w:jc w:val="center"/>
        <w:rPr>
          <w:rFonts w:ascii="Times New Roman" w:hAnsi="Times New Roman"/>
          <w:color w:val="auto"/>
          <w:sz w:val="32"/>
          <w:szCs w:val="32"/>
          <w:highlight w:val="none"/>
        </w:rPr>
      </w:pPr>
    </w:p>
    <w:p>
      <w:pPr>
        <w:spacing w:line="360" w:lineRule="auto"/>
        <w:jc w:val="center"/>
        <w:rPr>
          <w:rFonts w:ascii="Times New Roman" w:hAnsi="Times New Roman"/>
          <w:color w:val="auto"/>
          <w:sz w:val="32"/>
          <w:szCs w:val="32"/>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360" w:lineRule="auto"/>
        <w:jc w:val="center"/>
        <w:rPr>
          <w:rFonts w:ascii="Times New Roman" w:hAnsi="Times New Roman"/>
          <w:color w:val="auto"/>
          <w:sz w:val="32"/>
          <w:szCs w:val="32"/>
          <w:highlight w:val="none"/>
        </w:rPr>
      </w:pPr>
    </w:p>
    <w:p>
      <w:pPr>
        <w:rPr>
          <w:color w:val="auto"/>
          <w:highlight w:val="none"/>
        </w:rPr>
      </w:pPr>
    </w:p>
    <w:p>
      <w:pPr>
        <w:spacing w:line="360" w:lineRule="auto"/>
        <w:rPr>
          <w:rFonts w:ascii="Times New Roman" w:hAnsi="Times New Roman"/>
          <w:color w:val="auto"/>
          <w:sz w:val="52"/>
          <w:szCs w:val="52"/>
          <w:highlight w:val="none"/>
        </w:rPr>
      </w:pPr>
    </w:p>
    <w:p>
      <w:pPr>
        <w:autoSpaceDE w:val="0"/>
        <w:autoSpaceDN w:val="0"/>
        <w:adjustRightInd w:val="0"/>
        <w:spacing w:line="360" w:lineRule="auto"/>
        <w:ind w:firstLine="1500" w:firstLineChars="500"/>
        <w:rPr>
          <w:rFonts w:hint="eastAsia" w:ascii="Times New Roman" w:hAnsi="Times New Roman"/>
          <w:color w:val="auto"/>
          <w:kern w:val="0"/>
          <w:sz w:val="30"/>
          <w:szCs w:val="30"/>
          <w:highlight w:val="none"/>
          <w:u w:val="single"/>
        </w:rPr>
      </w:pPr>
      <w:r>
        <w:rPr>
          <w:rFonts w:ascii="Times New Roman" w:hAnsi="Times New Roman"/>
          <w:color w:val="auto"/>
          <w:sz w:val="30"/>
          <w:szCs w:val="30"/>
          <w:highlight w:val="none"/>
        </w:rPr>
        <w:t>招标单位：</w:t>
      </w:r>
      <w:r>
        <w:rPr>
          <w:rFonts w:hint="eastAsia" w:ascii="Times New Roman" w:hAnsi="Times New Roman"/>
          <w:color w:val="auto"/>
          <w:kern w:val="0"/>
          <w:sz w:val="30"/>
          <w:szCs w:val="30"/>
          <w:highlight w:val="none"/>
          <w:u w:val="single"/>
        </w:rPr>
        <w:t>南通市紫琅公园管理有限公司</w:t>
      </w:r>
    </w:p>
    <w:p>
      <w:pPr>
        <w:autoSpaceDE w:val="0"/>
        <w:autoSpaceDN w:val="0"/>
        <w:adjustRightInd w:val="0"/>
        <w:spacing w:line="360" w:lineRule="auto"/>
        <w:ind w:firstLine="1500" w:firstLineChars="500"/>
        <w:rPr>
          <w:rFonts w:ascii="Times New Roman" w:hAnsi="Times New Roman"/>
          <w:color w:val="auto"/>
          <w:kern w:val="0"/>
          <w:sz w:val="30"/>
          <w:szCs w:val="30"/>
          <w:highlight w:val="none"/>
          <w:u w:val="single"/>
        </w:rPr>
      </w:pPr>
      <w:r>
        <w:rPr>
          <w:rFonts w:ascii="Times New Roman" w:hAnsi="Times New Roman"/>
          <w:color w:val="auto"/>
          <w:kern w:val="0"/>
          <w:sz w:val="30"/>
          <w:szCs w:val="30"/>
          <w:highlight w:val="none"/>
          <w:lang w:eastAsia="zh-TW"/>
        </w:rPr>
        <w:t>招标</w:t>
      </w:r>
      <w:r>
        <w:rPr>
          <w:rFonts w:ascii="Times New Roman" w:hAnsi="Times New Roman"/>
          <w:color w:val="auto"/>
          <w:kern w:val="0"/>
          <w:sz w:val="30"/>
          <w:szCs w:val="30"/>
          <w:highlight w:val="none"/>
        </w:rPr>
        <w:t xml:space="preserve">代理: </w:t>
      </w:r>
      <w:r>
        <w:rPr>
          <w:rFonts w:hint="eastAsia" w:ascii="Times New Roman" w:hAnsi="Times New Roman"/>
          <w:color w:val="auto"/>
          <w:kern w:val="0"/>
          <w:sz w:val="30"/>
          <w:szCs w:val="30"/>
          <w:highlight w:val="none"/>
          <w:u w:val="single"/>
        </w:rPr>
        <w:t>江苏海审工程咨询有限公司</w:t>
      </w:r>
    </w:p>
    <w:p>
      <w:pPr>
        <w:spacing w:line="360" w:lineRule="auto"/>
        <w:ind w:firstLine="1500" w:firstLineChars="500"/>
        <w:rPr>
          <w:rFonts w:ascii="Times New Roman" w:hAnsi="Times New Roman"/>
          <w:color w:val="auto"/>
          <w:sz w:val="30"/>
          <w:szCs w:val="30"/>
          <w:highlight w:val="none"/>
        </w:rPr>
      </w:pPr>
      <w:r>
        <w:rPr>
          <w:rFonts w:ascii="Times New Roman" w:hAnsi="Times New Roman"/>
          <w:color w:val="auto"/>
          <w:sz w:val="30"/>
          <w:szCs w:val="30"/>
          <w:highlight w:val="none"/>
        </w:rPr>
        <w:t>日期：</w:t>
      </w:r>
      <w:r>
        <w:rPr>
          <w:rFonts w:ascii="Times New Roman" w:hAnsi="Times New Roman"/>
          <w:color w:val="auto"/>
          <w:sz w:val="30"/>
          <w:szCs w:val="30"/>
          <w:highlight w:val="none"/>
          <w:u w:val="single"/>
        </w:rPr>
        <w:t xml:space="preserve">  202</w:t>
      </w:r>
      <w:r>
        <w:rPr>
          <w:rFonts w:hint="eastAsia" w:ascii="Times New Roman" w:hAnsi="Times New Roman"/>
          <w:color w:val="auto"/>
          <w:sz w:val="30"/>
          <w:szCs w:val="30"/>
          <w:highlight w:val="none"/>
          <w:u w:val="single"/>
          <w:lang w:val="en-US" w:eastAsia="zh-CN"/>
        </w:rPr>
        <w:t>3</w:t>
      </w:r>
      <w:r>
        <w:rPr>
          <w:rFonts w:ascii="Times New Roman" w:hAnsi="Times New Roman"/>
          <w:color w:val="auto"/>
          <w:sz w:val="30"/>
          <w:szCs w:val="30"/>
          <w:highlight w:val="none"/>
          <w:u w:val="single"/>
        </w:rPr>
        <w:t>年</w:t>
      </w:r>
      <w:r>
        <w:rPr>
          <w:rFonts w:hint="eastAsia" w:ascii="Times New Roman" w:hAnsi="Times New Roman"/>
          <w:color w:val="auto"/>
          <w:sz w:val="30"/>
          <w:szCs w:val="30"/>
          <w:highlight w:val="none"/>
          <w:u w:val="single"/>
          <w:lang w:val="en-US" w:eastAsia="zh-CN"/>
        </w:rPr>
        <w:t>9</w:t>
      </w:r>
      <w:r>
        <w:rPr>
          <w:rFonts w:ascii="Times New Roman" w:hAnsi="Times New Roman"/>
          <w:color w:val="auto"/>
          <w:sz w:val="30"/>
          <w:szCs w:val="30"/>
          <w:highlight w:val="none"/>
          <w:u w:val="single"/>
        </w:rPr>
        <w:t>月</w:t>
      </w:r>
      <w:r>
        <w:rPr>
          <w:rFonts w:hint="eastAsia" w:ascii="Times New Roman" w:hAnsi="Times New Roman"/>
          <w:color w:val="auto"/>
          <w:sz w:val="30"/>
          <w:szCs w:val="30"/>
          <w:highlight w:val="none"/>
          <w:u w:val="single"/>
          <w:lang w:val="en-US" w:eastAsia="zh-CN"/>
        </w:rPr>
        <w:t>6</w:t>
      </w:r>
      <w:r>
        <w:rPr>
          <w:rFonts w:ascii="Times New Roman" w:hAnsi="Times New Roman"/>
          <w:color w:val="auto"/>
          <w:sz w:val="30"/>
          <w:szCs w:val="30"/>
          <w:highlight w:val="none"/>
          <w:u w:val="single"/>
        </w:rPr>
        <w:t>日</w:t>
      </w:r>
    </w:p>
    <w:p>
      <w:pPr>
        <w:keepNext/>
        <w:keepLines/>
        <w:spacing w:before="120" w:after="120" w:line="360" w:lineRule="auto"/>
        <w:jc w:val="center"/>
        <w:outlineLvl w:val="0"/>
        <w:rPr>
          <w:rFonts w:ascii="Times New Roman" w:hAnsi="Times New Roman"/>
          <w:b/>
          <w:color w:val="auto"/>
          <w:sz w:val="36"/>
          <w:szCs w:val="36"/>
          <w:highlight w:val="none"/>
        </w:rPr>
      </w:pPr>
      <w:bookmarkStart w:id="0" w:name="_Toc9260118"/>
      <w:bookmarkStart w:id="1" w:name="_Toc387526362"/>
      <w:bookmarkStart w:id="2" w:name="_Toc5291"/>
      <w:bookmarkStart w:id="3" w:name="OLE_LINK1"/>
      <w:r>
        <w:rPr>
          <w:rFonts w:ascii="Times New Roman" w:hAnsi="Times New Roman"/>
          <w:b/>
          <w:color w:val="auto"/>
          <w:sz w:val="36"/>
          <w:szCs w:val="36"/>
          <w:highlight w:val="none"/>
        </w:rPr>
        <w:t>第一章招标公告</w:t>
      </w:r>
      <w:bookmarkEnd w:id="0"/>
      <w:bookmarkEnd w:id="1"/>
      <w:bookmarkEnd w:id="2"/>
      <w:bookmarkStart w:id="4" w:name="_Toc9260119"/>
      <w:bookmarkStart w:id="5" w:name="_Toc3449513"/>
      <w:bookmarkStart w:id="6" w:name="_Toc144974480"/>
      <w:bookmarkStart w:id="7" w:name="_Toc152045512"/>
      <w:bookmarkStart w:id="8" w:name="_Toc387526363"/>
      <w:bookmarkStart w:id="9" w:name="_Toc300834929"/>
      <w:bookmarkStart w:id="10" w:name="_Toc27012"/>
      <w:bookmarkStart w:id="11" w:name="_Toc387526167"/>
      <w:bookmarkStart w:id="12" w:name="_Toc387526271"/>
      <w:bookmarkStart w:id="13" w:name="_Toc247513934"/>
      <w:bookmarkStart w:id="14" w:name="_Toc152042288"/>
      <w:bookmarkStart w:id="15" w:name="_Toc247527535"/>
      <w:bookmarkStart w:id="16" w:name="OLE_LINK2"/>
      <w:bookmarkStart w:id="17" w:name="OLE_LINK3"/>
      <w:bookmarkStart w:id="18" w:name="OLE_LINK5"/>
      <w:bookmarkStart w:id="19" w:name="_Toc368759511"/>
      <w:bookmarkStart w:id="20" w:name="_Toc369077550"/>
    </w:p>
    <w:bookmarkEnd w:id="4"/>
    <w:bookmarkEnd w:id="5"/>
    <w:p>
      <w:pPr>
        <w:keepNext/>
        <w:keepLines/>
        <w:spacing w:before="120" w:after="120" w:line="360" w:lineRule="auto"/>
        <w:jc w:val="center"/>
        <w:outlineLvl w:val="0"/>
        <w:rPr>
          <w:rFonts w:hint="default" w:ascii="Times New Roman" w:hAnsi="Times New Roman" w:eastAsia="宋体"/>
          <w:b/>
          <w:color w:val="auto"/>
          <w:spacing w:val="-6"/>
          <w:kern w:val="44"/>
          <w:sz w:val="30"/>
          <w:szCs w:val="30"/>
          <w:highlight w:val="none"/>
          <w:lang w:val="en-US" w:eastAsia="zh-CN"/>
        </w:rPr>
      </w:pPr>
      <w:bookmarkStart w:id="21" w:name="OLE_LINK8"/>
      <w:bookmarkStart w:id="22" w:name="OLE_LINK4"/>
      <w:bookmarkStart w:id="23" w:name="OLE_LINK6"/>
      <w:bookmarkStart w:id="24" w:name="OLE_LINK7"/>
      <w:r>
        <w:rPr>
          <w:rFonts w:hint="eastAsia" w:ascii="Times New Roman" w:hAnsi="Times New Roman"/>
          <w:b/>
          <w:color w:val="auto"/>
          <w:spacing w:val="-6"/>
          <w:kern w:val="0"/>
          <w:sz w:val="30"/>
          <w:szCs w:val="30"/>
          <w:highlight w:val="none"/>
          <w:lang w:eastAsia="zh-CN"/>
        </w:rPr>
        <w:t>南通创新区通沪大道以北区域部分照明设施电子测绘</w:t>
      </w:r>
      <w:r>
        <w:rPr>
          <w:rFonts w:hint="eastAsia" w:ascii="Times New Roman" w:hAnsi="Times New Roman"/>
          <w:b/>
          <w:color w:val="auto"/>
          <w:spacing w:val="-6"/>
          <w:kern w:val="0"/>
          <w:sz w:val="30"/>
          <w:szCs w:val="30"/>
          <w:highlight w:val="none"/>
          <w:lang w:val="en-US" w:eastAsia="zh-CN"/>
        </w:rPr>
        <w:t>招标公告</w:t>
      </w:r>
    </w:p>
    <w:p>
      <w:pPr>
        <w:keepNext/>
        <w:keepLines/>
        <w:spacing w:line="360" w:lineRule="auto"/>
        <w:outlineLvl w:val="1"/>
        <w:rPr>
          <w:rFonts w:ascii="宋体" w:hAnsi="宋体" w:cs="宋体"/>
          <w:b/>
          <w:color w:val="auto"/>
          <w:szCs w:val="21"/>
          <w:highlight w:val="none"/>
        </w:rPr>
      </w:pPr>
      <w:bookmarkStart w:id="25" w:name="_Toc9260120"/>
      <w:r>
        <w:rPr>
          <w:rFonts w:hint="eastAsia" w:ascii="宋体" w:hAnsi="宋体" w:cs="宋体"/>
          <w:b/>
          <w:color w:val="auto"/>
          <w:szCs w:val="21"/>
          <w:highlight w:val="none"/>
        </w:rPr>
        <w:t>1. 招标条件</w:t>
      </w:r>
      <w:bookmarkEnd w:id="6"/>
      <w:bookmarkEnd w:id="7"/>
      <w:bookmarkEnd w:id="8"/>
      <w:bookmarkEnd w:id="9"/>
      <w:bookmarkEnd w:id="10"/>
      <w:bookmarkEnd w:id="11"/>
      <w:bookmarkEnd w:id="12"/>
      <w:bookmarkEnd w:id="13"/>
      <w:bookmarkEnd w:id="14"/>
      <w:bookmarkEnd w:id="15"/>
      <w:bookmarkEnd w:id="25"/>
    </w:p>
    <w:p>
      <w:pPr>
        <w:widowControl/>
        <w:spacing w:line="360" w:lineRule="auto"/>
        <w:ind w:firstLine="420" w:firstLineChars="200"/>
        <w:textAlignment w:val="baseline"/>
        <w:rPr>
          <w:rFonts w:ascii="宋体" w:hAnsi="宋体" w:cs="宋体"/>
          <w:color w:val="auto"/>
          <w:kern w:val="0"/>
          <w:szCs w:val="21"/>
          <w:highlight w:val="none"/>
        </w:rPr>
      </w:pPr>
      <w:r>
        <w:rPr>
          <w:rFonts w:hint="eastAsia" w:ascii="宋体" w:hAnsi="宋体" w:cs="宋体"/>
          <w:color w:val="auto"/>
          <w:kern w:val="0"/>
          <w:szCs w:val="21"/>
          <w:highlight w:val="none"/>
        </w:rPr>
        <w:t>本招标项目</w:t>
      </w:r>
      <w:r>
        <w:rPr>
          <w:rFonts w:hint="eastAsia" w:ascii="宋体" w:hAnsi="宋体" w:cs="宋体"/>
          <w:color w:val="auto"/>
          <w:kern w:val="0"/>
          <w:szCs w:val="21"/>
          <w:highlight w:val="none"/>
          <w:u w:val="single"/>
          <w:lang w:eastAsia="zh-CN"/>
        </w:rPr>
        <w:t>南通创新区通沪大道以北区域部分照明设施电子测绘</w:t>
      </w:r>
      <w:r>
        <w:rPr>
          <w:rFonts w:hint="eastAsia" w:ascii="宋体" w:hAnsi="宋体" w:cs="宋体"/>
          <w:color w:val="auto"/>
          <w:kern w:val="0"/>
          <w:szCs w:val="21"/>
          <w:highlight w:val="none"/>
        </w:rPr>
        <w:t>已经批准建设，</w:t>
      </w:r>
      <w:r>
        <w:rPr>
          <w:rFonts w:hint="eastAsia" w:ascii="宋体" w:hAnsi="宋体" w:cs="宋体"/>
          <w:color w:val="auto"/>
          <w:szCs w:val="21"/>
          <w:highlight w:val="none"/>
        </w:rPr>
        <w:t>建设资金</w:t>
      </w:r>
      <w:r>
        <w:rPr>
          <w:rFonts w:hint="eastAsia" w:ascii="宋体" w:hAnsi="宋体" w:cs="宋体"/>
          <w:color w:val="auto"/>
          <w:kern w:val="0"/>
          <w:szCs w:val="21"/>
          <w:highlight w:val="none"/>
          <w:u w:val="single"/>
        </w:rPr>
        <w:t>已落实</w:t>
      </w:r>
      <w:r>
        <w:rPr>
          <w:rFonts w:hint="eastAsia" w:ascii="宋体" w:hAnsi="宋体" w:cs="宋体"/>
          <w:color w:val="auto"/>
          <w:szCs w:val="21"/>
          <w:highlight w:val="none"/>
        </w:rPr>
        <w:t>，招标人为</w:t>
      </w:r>
      <w:r>
        <w:rPr>
          <w:rFonts w:hint="eastAsia" w:ascii="宋体" w:hAnsi="宋体" w:cs="宋体"/>
          <w:bCs/>
          <w:color w:val="auto"/>
          <w:kern w:val="0"/>
          <w:szCs w:val="21"/>
          <w:highlight w:val="none"/>
          <w:u w:val="single"/>
        </w:rPr>
        <w:t>南通市紫琅公园管理有限公司</w:t>
      </w:r>
      <w:r>
        <w:rPr>
          <w:rFonts w:hint="eastAsia" w:ascii="宋体" w:hAnsi="宋体" w:cs="宋体"/>
          <w:color w:val="auto"/>
          <w:szCs w:val="21"/>
          <w:highlight w:val="none"/>
        </w:rPr>
        <w:t>。项目已具备招标条件，</w:t>
      </w:r>
      <w:r>
        <w:rPr>
          <w:rFonts w:hint="eastAsia" w:ascii="宋体" w:hAnsi="宋体" w:cs="宋体"/>
          <w:color w:val="auto"/>
          <w:kern w:val="0"/>
          <w:szCs w:val="21"/>
          <w:highlight w:val="none"/>
        </w:rPr>
        <w:t>现对该项目的进行公开招标。</w:t>
      </w:r>
      <w:bookmarkStart w:id="26" w:name="_Toc387526272"/>
      <w:bookmarkStart w:id="27" w:name="_Toc387526168"/>
      <w:bookmarkStart w:id="28" w:name="_Toc387526364"/>
      <w:bookmarkStart w:id="29" w:name="_Toc12939"/>
    </w:p>
    <w:p>
      <w:pPr>
        <w:keepNext/>
        <w:keepLines/>
        <w:spacing w:line="360" w:lineRule="auto"/>
        <w:outlineLvl w:val="1"/>
        <w:rPr>
          <w:rFonts w:ascii="宋体" w:hAnsi="宋体" w:cs="宋体"/>
          <w:b/>
          <w:color w:val="auto"/>
          <w:szCs w:val="21"/>
          <w:highlight w:val="none"/>
        </w:rPr>
      </w:pPr>
      <w:bookmarkStart w:id="30" w:name="_Toc9260121"/>
      <w:r>
        <w:rPr>
          <w:rFonts w:hint="eastAsia" w:ascii="宋体" w:hAnsi="宋体" w:cs="宋体"/>
          <w:b/>
          <w:color w:val="auto"/>
          <w:szCs w:val="21"/>
          <w:highlight w:val="none"/>
        </w:rPr>
        <w:t>2. 项目概况与招标范围</w:t>
      </w:r>
      <w:bookmarkEnd w:id="26"/>
      <w:bookmarkEnd w:id="27"/>
      <w:bookmarkEnd w:id="28"/>
      <w:bookmarkEnd w:id="29"/>
      <w:bookmarkEnd w:id="30"/>
    </w:p>
    <w:p>
      <w:pPr>
        <w:spacing w:line="360" w:lineRule="auto"/>
        <w:ind w:firstLine="315" w:firstLineChars="150"/>
        <w:jc w:val="left"/>
        <w:rPr>
          <w:rFonts w:ascii="宋体" w:hAnsi="宋体" w:cs="宋体"/>
          <w:color w:val="auto"/>
          <w:kern w:val="0"/>
          <w:szCs w:val="21"/>
          <w:highlight w:val="none"/>
          <w:u w:val="single"/>
        </w:rPr>
      </w:pPr>
      <w:r>
        <w:rPr>
          <w:rFonts w:hint="eastAsia" w:ascii="宋体" w:hAnsi="宋体" w:cs="宋体"/>
          <w:color w:val="auto"/>
          <w:szCs w:val="21"/>
          <w:highlight w:val="none"/>
        </w:rPr>
        <w:t xml:space="preserve"> 2.1招标范围：</w:t>
      </w:r>
      <w:r>
        <w:rPr>
          <w:rFonts w:hint="eastAsia" w:ascii="宋体" w:hAnsi="宋体" w:cs="宋体"/>
          <w:color w:val="auto"/>
          <w:kern w:val="0"/>
          <w:szCs w:val="21"/>
          <w:highlight w:val="none"/>
          <w:u w:val="single"/>
          <w:lang w:eastAsia="zh-CN"/>
        </w:rPr>
        <w:t>南通创新区通沪大道以北区域部分照明设施电子测绘</w:t>
      </w:r>
      <w:r>
        <w:rPr>
          <w:rFonts w:hint="eastAsia" w:ascii="宋体" w:hAnsi="宋体" w:cs="宋体"/>
          <w:color w:val="auto"/>
          <w:kern w:val="0"/>
          <w:szCs w:val="21"/>
          <w:highlight w:val="none"/>
          <w:u w:val="single"/>
        </w:rPr>
        <w:t>，具体详见项目需求；</w:t>
      </w:r>
    </w:p>
    <w:p>
      <w:pPr>
        <w:widowControl/>
        <w:spacing w:line="360" w:lineRule="auto"/>
        <w:ind w:firstLine="420" w:firstLineChars="200"/>
        <w:jc w:val="left"/>
        <w:textAlignment w:val="baseline"/>
        <w:rPr>
          <w:rFonts w:ascii="宋体" w:hAnsi="宋体" w:cs="宋体"/>
          <w:color w:val="auto"/>
          <w:kern w:val="0"/>
          <w:szCs w:val="21"/>
          <w:highlight w:val="none"/>
          <w:u w:val="single"/>
        </w:rPr>
      </w:pPr>
      <w:r>
        <w:rPr>
          <w:rFonts w:hint="eastAsia" w:ascii="宋体" w:hAnsi="宋体" w:cs="宋体"/>
          <w:color w:val="auto"/>
          <w:kern w:val="0"/>
          <w:szCs w:val="21"/>
          <w:highlight w:val="none"/>
        </w:rPr>
        <w:t>2.2项目地点：</w:t>
      </w:r>
      <w:r>
        <w:rPr>
          <w:rFonts w:hint="eastAsia" w:ascii="宋体" w:hAnsi="宋体" w:cs="宋体"/>
          <w:color w:val="auto"/>
          <w:kern w:val="0"/>
          <w:szCs w:val="21"/>
          <w:highlight w:val="none"/>
          <w:u w:val="single"/>
        </w:rPr>
        <w:t>南通创新区；</w:t>
      </w:r>
    </w:p>
    <w:p>
      <w:pPr>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2.3 建设规模：</w:t>
      </w:r>
      <w:r>
        <w:rPr>
          <w:rFonts w:hint="eastAsia" w:ascii="宋体" w:hAnsi="宋体" w:cs="宋体"/>
          <w:color w:val="auto"/>
          <w:kern w:val="0"/>
          <w:szCs w:val="21"/>
          <w:highlight w:val="none"/>
          <w:u w:val="single"/>
          <w:lang w:val="en-US" w:eastAsia="zh-CN"/>
        </w:rPr>
        <w:t>合同估算额</w:t>
      </w:r>
      <w:r>
        <w:rPr>
          <w:rFonts w:hint="eastAsia" w:ascii="宋体" w:hAnsi="宋体" w:cs="宋体"/>
          <w:color w:val="auto"/>
          <w:kern w:val="0"/>
          <w:szCs w:val="21"/>
          <w:highlight w:val="none"/>
          <w:u w:val="single"/>
        </w:rPr>
        <w:t>约</w:t>
      </w:r>
      <w:r>
        <w:rPr>
          <w:rFonts w:hint="eastAsia" w:ascii="宋体" w:hAnsi="宋体" w:cs="宋体"/>
          <w:color w:val="auto"/>
          <w:kern w:val="0"/>
          <w:szCs w:val="21"/>
          <w:highlight w:val="none"/>
          <w:u w:val="single"/>
          <w:lang w:val="en-US" w:eastAsia="zh-CN"/>
        </w:rPr>
        <w:t>10</w:t>
      </w:r>
      <w:r>
        <w:rPr>
          <w:rFonts w:hint="eastAsia" w:ascii="宋体" w:hAnsi="宋体" w:cs="宋体"/>
          <w:color w:val="auto"/>
          <w:kern w:val="0"/>
          <w:szCs w:val="21"/>
          <w:highlight w:val="none"/>
          <w:u w:val="single"/>
        </w:rPr>
        <w:t>万元；</w:t>
      </w:r>
    </w:p>
    <w:p>
      <w:pPr>
        <w:widowControl/>
        <w:spacing w:line="360" w:lineRule="auto"/>
        <w:ind w:firstLine="420" w:firstLineChars="200"/>
        <w:textAlignment w:val="baseline"/>
        <w:rPr>
          <w:rFonts w:ascii="宋体" w:hAnsi="宋体" w:cs="宋体"/>
          <w:color w:val="auto"/>
          <w:kern w:val="0"/>
          <w:szCs w:val="21"/>
          <w:highlight w:val="none"/>
          <w:u w:val="single"/>
        </w:rPr>
      </w:pPr>
      <w:r>
        <w:rPr>
          <w:rFonts w:hint="eastAsia" w:ascii="宋体" w:hAnsi="宋体" w:cs="宋体"/>
          <w:color w:val="auto"/>
          <w:kern w:val="0"/>
          <w:szCs w:val="21"/>
          <w:highlight w:val="none"/>
        </w:rPr>
        <w:t>2.4服务内容：</w:t>
      </w:r>
      <w:r>
        <w:rPr>
          <w:rFonts w:hint="eastAsia" w:ascii="宋体" w:hAnsi="宋体" w:cs="宋体"/>
          <w:color w:val="auto"/>
          <w:kern w:val="0"/>
          <w:szCs w:val="21"/>
          <w:highlight w:val="none"/>
          <w:u w:val="single"/>
        </w:rPr>
        <w:t>具体详见项目需求；</w:t>
      </w:r>
    </w:p>
    <w:p>
      <w:pPr>
        <w:widowControl/>
        <w:spacing w:line="360" w:lineRule="auto"/>
        <w:ind w:firstLine="420" w:firstLineChars="200"/>
        <w:jc w:val="left"/>
        <w:textAlignment w:val="baseline"/>
        <w:rPr>
          <w:rFonts w:ascii="宋体" w:hAnsi="宋体" w:cs="宋体"/>
          <w:color w:val="auto"/>
          <w:kern w:val="0"/>
          <w:szCs w:val="21"/>
          <w:highlight w:val="none"/>
          <w:u w:val="single"/>
        </w:rPr>
      </w:pPr>
      <w:r>
        <w:rPr>
          <w:rFonts w:hint="eastAsia" w:ascii="宋体" w:hAnsi="宋体" w:cs="宋体"/>
          <w:color w:val="auto"/>
          <w:kern w:val="0"/>
          <w:szCs w:val="21"/>
          <w:highlight w:val="none"/>
        </w:rPr>
        <w:t>2.5服务期限：</w:t>
      </w:r>
      <w:r>
        <w:rPr>
          <w:rFonts w:hint="eastAsia" w:ascii="宋体" w:hAnsi="宋体" w:cs="宋体"/>
          <w:color w:val="auto"/>
          <w:kern w:val="0"/>
          <w:szCs w:val="21"/>
          <w:highlight w:val="none"/>
          <w:u w:val="single"/>
          <w:lang w:val="en-US" w:eastAsia="zh-CN"/>
        </w:rPr>
        <w:t>30</w:t>
      </w:r>
      <w:r>
        <w:rPr>
          <w:rFonts w:hint="eastAsia" w:ascii="宋体" w:hAnsi="宋体" w:cs="宋体"/>
          <w:color w:val="auto"/>
          <w:kern w:val="0"/>
          <w:szCs w:val="21"/>
          <w:highlight w:val="none"/>
          <w:u w:val="single"/>
        </w:rPr>
        <w:t>日历天；</w:t>
      </w:r>
    </w:p>
    <w:p>
      <w:pPr>
        <w:widowControl/>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2.6质量要求：</w:t>
      </w:r>
      <w:r>
        <w:rPr>
          <w:rFonts w:hint="eastAsia" w:ascii="宋体" w:hAnsi="宋体" w:cs="宋体"/>
          <w:color w:val="auto"/>
          <w:szCs w:val="21"/>
          <w:highlight w:val="none"/>
          <w:u w:val="single"/>
        </w:rPr>
        <w:t>符合现行国家有关技术规范、标准、规程的等方面的要求</w:t>
      </w:r>
      <w:r>
        <w:rPr>
          <w:rFonts w:hint="eastAsia" w:ascii="宋体" w:hAnsi="宋体" w:cs="宋体"/>
          <w:color w:val="auto"/>
          <w:szCs w:val="21"/>
          <w:highlight w:val="none"/>
        </w:rPr>
        <w:t>。</w:t>
      </w:r>
    </w:p>
    <w:p>
      <w:pPr>
        <w:keepNext/>
        <w:keepLines/>
        <w:spacing w:line="360" w:lineRule="auto"/>
        <w:outlineLvl w:val="1"/>
        <w:rPr>
          <w:rFonts w:ascii="宋体" w:hAnsi="宋体" w:cs="宋体"/>
          <w:b/>
          <w:color w:val="auto"/>
          <w:szCs w:val="21"/>
          <w:highlight w:val="none"/>
        </w:rPr>
      </w:pPr>
      <w:bookmarkStart w:id="31" w:name="_Toc387526273"/>
      <w:bookmarkStart w:id="32" w:name="_Toc9260122"/>
      <w:bookmarkStart w:id="33" w:name="_Toc20597"/>
      <w:bookmarkStart w:id="34" w:name="_Toc387526365"/>
      <w:bookmarkStart w:id="35" w:name="_Toc387526169"/>
      <w:r>
        <w:rPr>
          <w:rFonts w:hint="eastAsia" w:ascii="宋体" w:hAnsi="宋体" w:cs="宋体"/>
          <w:b/>
          <w:color w:val="auto"/>
          <w:szCs w:val="21"/>
          <w:highlight w:val="none"/>
        </w:rPr>
        <w:t>3. 投标人资格要求</w:t>
      </w:r>
      <w:bookmarkEnd w:id="31"/>
      <w:bookmarkEnd w:id="32"/>
      <w:bookmarkEnd w:id="33"/>
      <w:bookmarkEnd w:id="34"/>
      <w:bookmarkEnd w:id="35"/>
    </w:p>
    <w:p>
      <w:pPr>
        <w:spacing w:line="360" w:lineRule="auto"/>
        <w:ind w:firstLine="420" w:firstLineChars="200"/>
        <w:rPr>
          <w:rFonts w:ascii="宋体" w:hAnsi="宋体" w:cs="宋体"/>
          <w:color w:val="auto"/>
          <w:szCs w:val="21"/>
          <w:highlight w:val="none"/>
        </w:rPr>
      </w:pPr>
      <w:bookmarkStart w:id="36" w:name="_Toc387526275"/>
      <w:bookmarkStart w:id="37" w:name="_Toc387526367"/>
      <w:bookmarkStart w:id="38" w:name="_Toc387526171"/>
      <w:bookmarkStart w:id="39" w:name="_Toc23719"/>
      <w:r>
        <w:rPr>
          <w:rFonts w:hint="eastAsia" w:ascii="宋体" w:hAnsi="宋体" w:cs="宋体"/>
          <w:color w:val="auto"/>
          <w:szCs w:val="21"/>
          <w:highlight w:val="none"/>
        </w:rPr>
        <w:t>3.1投标人资质要求：</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（1）投标人必须具有独立订立合同的能力；</w:t>
      </w:r>
    </w:p>
    <w:p>
      <w:pPr>
        <w:spacing w:line="360" w:lineRule="auto"/>
        <w:ind w:firstLine="420" w:firstLineChars="200"/>
        <w:rPr>
          <w:rFonts w:ascii="宋体" w:hAnsi="宋体" w:cs="宋体"/>
          <w:b/>
          <w:color w:val="auto"/>
          <w:szCs w:val="21"/>
          <w:highlight w:val="none"/>
          <w:u w:val="single"/>
        </w:rPr>
      </w:pPr>
      <w:r>
        <w:rPr>
          <w:rFonts w:hint="eastAsia" w:ascii="宋体" w:hAnsi="宋体" w:cs="宋体"/>
          <w:color w:val="auto"/>
          <w:szCs w:val="21"/>
          <w:highlight w:val="none"/>
        </w:rPr>
        <w:t>（2）投标人</w:t>
      </w:r>
      <w:r>
        <w:rPr>
          <w:rFonts w:hint="eastAsia" w:ascii="宋体" w:hAnsi="宋体" w:cs="宋体"/>
          <w:b/>
          <w:color w:val="auto"/>
          <w:szCs w:val="21"/>
          <w:highlight w:val="none"/>
          <w:u w:val="single"/>
        </w:rPr>
        <w:t>具有</w:t>
      </w:r>
      <w:r>
        <w:rPr>
          <w:rFonts w:hint="eastAsia" w:ascii="宋体" w:hAnsi="宋体" w:cs="宋体"/>
          <w:b/>
          <w:color w:val="auto"/>
          <w:szCs w:val="21"/>
          <w:highlight w:val="none"/>
          <w:u w:val="single"/>
          <w:lang w:val="en-US" w:eastAsia="zh-CN"/>
        </w:rPr>
        <w:t>国家测绘行政主管部门颁发的有效期内的乙级及以上测绘资质证书</w:t>
      </w:r>
      <w:r>
        <w:rPr>
          <w:rFonts w:hint="eastAsia" w:ascii="宋体" w:hAnsi="宋体" w:cs="宋体"/>
          <w:b/>
          <w:color w:val="auto"/>
          <w:szCs w:val="21"/>
          <w:highlight w:val="none"/>
          <w:u w:val="single"/>
        </w:rPr>
        <w:t>。</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（3）拟派项目负责人为投标人正式人员（</w:t>
      </w:r>
      <w:r>
        <w:rPr>
          <w:rFonts w:hint="eastAsia" w:ascii="宋体" w:hAnsi="宋体" w:cs="宋体"/>
          <w:color w:val="auto"/>
          <w:szCs w:val="21"/>
          <w:highlight w:val="none"/>
          <w:lang w:val="en-US" w:eastAsia="zh-CN"/>
        </w:rPr>
        <w:t>须提供拟派项目负责人与投标人签订的有效劳动合同复印件</w:t>
      </w:r>
      <w:r>
        <w:rPr>
          <w:rFonts w:hint="eastAsia" w:ascii="宋体" w:hAnsi="宋体" w:cs="宋体"/>
          <w:color w:val="auto"/>
          <w:szCs w:val="21"/>
          <w:highlight w:val="none"/>
        </w:rPr>
        <w:t>）；</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）未处于被责令停业、投标资格被取消或者财产被接管、冻结和破产状态；</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）企业没有因骗取中标或者严重违约以及发生重大工程质量、安全生产事故等问题，被有关部门暂停投标资格并在暂停期内的，且企业无违纪行为和不良记录的；</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）企业的资质类别、等级和项目负责人应具备的资格条件满足要求；</w:t>
      </w:r>
    </w:p>
    <w:p>
      <w:pPr>
        <w:spacing w:line="360" w:lineRule="auto"/>
        <w:ind w:firstLine="420" w:firstLineChars="200"/>
        <w:rPr>
          <w:rFonts w:hint="eastAsia" w:ascii="宋体" w:hAnsi="宋体" w:cs="宋体"/>
          <w:b/>
          <w:bCs/>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）单位负责人为同一人或者存在直接控股、管理关系的不同</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，不得参加同一合同项下的采购活动。</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3.2本项目</w:t>
      </w:r>
      <w:r>
        <w:rPr>
          <w:rFonts w:hint="eastAsia" w:ascii="宋体" w:hAnsi="宋体" w:cs="宋体"/>
          <w:b/>
          <w:bCs/>
          <w:color w:val="auto"/>
          <w:kern w:val="0"/>
          <w:szCs w:val="21"/>
          <w:highlight w:val="none"/>
        </w:rPr>
        <w:t>不接受</w:t>
      </w:r>
      <w:r>
        <w:rPr>
          <w:rFonts w:hint="eastAsia" w:ascii="宋体" w:hAnsi="宋体" w:cs="宋体"/>
          <w:color w:val="auto"/>
          <w:kern w:val="0"/>
          <w:szCs w:val="21"/>
          <w:highlight w:val="none"/>
        </w:rPr>
        <w:t>联合体投标。</w:t>
      </w:r>
    </w:p>
    <w:p>
      <w:pPr>
        <w:spacing w:line="360" w:lineRule="auto"/>
        <w:ind w:firstLine="459"/>
        <w:rPr>
          <w:rFonts w:ascii="宋体" w:hAnsi="宋体" w:cs="宋体"/>
          <w:color w:val="auto"/>
          <w:szCs w:val="21"/>
          <w:highlight w:val="none"/>
        </w:rPr>
      </w:pPr>
      <w:bookmarkStart w:id="40" w:name="_Toc387526170"/>
      <w:bookmarkStart w:id="41" w:name="_Toc387526366"/>
      <w:bookmarkStart w:id="42" w:name="_Toc387526274"/>
      <w:r>
        <w:rPr>
          <w:rFonts w:hint="eastAsia" w:ascii="宋体" w:hAnsi="宋体" w:cs="宋体"/>
          <w:bCs/>
          <w:color w:val="auto"/>
          <w:szCs w:val="21"/>
          <w:highlight w:val="none"/>
        </w:rPr>
        <w:t>3.3</w:t>
      </w:r>
      <w:r>
        <w:rPr>
          <w:rFonts w:hint="eastAsia" w:ascii="宋体" w:hAnsi="宋体" w:cs="宋体"/>
          <w:color w:val="auto"/>
          <w:szCs w:val="21"/>
          <w:highlight w:val="none"/>
        </w:rPr>
        <w:t>符合相关法律、法规规定的其他要求。</w:t>
      </w:r>
      <w:bookmarkEnd w:id="40"/>
      <w:bookmarkEnd w:id="41"/>
      <w:bookmarkEnd w:id="42"/>
    </w:p>
    <w:p>
      <w:pPr>
        <w:keepNext/>
        <w:keepLines/>
        <w:spacing w:line="360" w:lineRule="auto"/>
        <w:outlineLvl w:val="1"/>
        <w:rPr>
          <w:rFonts w:ascii="宋体" w:hAnsi="宋体" w:cs="宋体"/>
          <w:b/>
          <w:color w:val="auto"/>
          <w:szCs w:val="21"/>
          <w:highlight w:val="none"/>
        </w:rPr>
      </w:pPr>
      <w:bookmarkStart w:id="43" w:name="_Toc9260123"/>
      <w:r>
        <w:rPr>
          <w:rFonts w:hint="eastAsia" w:ascii="宋体" w:hAnsi="宋体" w:cs="宋体"/>
          <w:b/>
          <w:color w:val="auto"/>
          <w:szCs w:val="21"/>
          <w:highlight w:val="none"/>
        </w:rPr>
        <w:t>4. 评标办法</w:t>
      </w:r>
      <w:bookmarkEnd w:id="36"/>
      <w:bookmarkEnd w:id="37"/>
      <w:bookmarkEnd w:id="38"/>
      <w:bookmarkEnd w:id="39"/>
      <w:bookmarkEnd w:id="43"/>
    </w:p>
    <w:p>
      <w:pPr>
        <w:widowControl/>
        <w:spacing w:line="360" w:lineRule="auto"/>
        <w:ind w:firstLine="420" w:firstLineChars="200"/>
        <w:jc w:val="left"/>
        <w:textAlignment w:val="baseline"/>
        <w:rPr>
          <w:rFonts w:ascii="宋体" w:hAnsi="宋体" w:cs="宋体"/>
          <w:color w:val="auto"/>
          <w:szCs w:val="21"/>
          <w:highlight w:val="none"/>
        </w:rPr>
      </w:pPr>
      <w:r>
        <w:rPr>
          <w:rFonts w:hint="eastAsia" w:ascii="宋体" w:hAnsi="宋体" w:cs="宋体"/>
          <w:color w:val="auto"/>
          <w:szCs w:val="21"/>
          <w:highlight w:val="none"/>
          <w:u w:val="single"/>
          <w:lang w:val="en-US" w:eastAsia="zh-CN"/>
        </w:rPr>
        <w:t>价格单因素法</w:t>
      </w:r>
      <w:r>
        <w:rPr>
          <w:rFonts w:hint="eastAsia" w:ascii="宋体" w:hAnsi="宋体" w:cs="宋体"/>
          <w:color w:val="auto"/>
          <w:szCs w:val="21"/>
          <w:highlight w:val="none"/>
          <w:u w:val="single"/>
        </w:rPr>
        <w:t>，详见招标文件。</w:t>
      </w:r>
    </w:p>
    <w:p>
      <w:pPr>
        <w:keepNext/>
        <w:keepLines/>
        <w:spacing w:line="360" w:lineRule="auto"/>
        <w:outlineLvl w:val="1"/>
        <w:rPr>
          <w:rFonts w:ascii="宋体" w:hAnsi="宋体" w:cs="宋体"/>
          <w:b/>
          <w:color w:val="auto"/>
          <w:szCs w:val="21"/>
          <w:highlight w:val="none"/>
        </w:rPr>
      </w:pPr>
      <w:bookmarkStart w:id="44" w:name="_Toc21359"/>
      <w:bookmarkStart w:id="45" w:name="_Toc387526276"/>
      <w:bookmarkStart w:id="46" w:name="_Toc387526172"/>
      <w:bookmarkStart w:id="47" w:name="_Toc387526368"/>
      <w:bookmarkStart w:id="48" w:name="_Toc9260124"/>
      <w:r>
        <w:rPr>
          <w:rFonts w:hint="eastAsia" w:ascii="宋体" w:hAnsi="宋体" w:cs="宋体"/>
          <w:b/>
          <w:color w:val="auto"/>
          <w:szCs w:val="21"/>
          <w:highlight w:val="none"/>
        </w:rPr>
        <w:t>5. 招标文件的获取</w:t>
      </w:r>
      <w:bookmarkEnd w:id="44"/>
      <w:bookmarkEnd w:id="45"/>
      <w:bookmarkEnd w:id="46"/>
      <w:bookmarkEnd w:id="47"/>
      <w:bookmarkEnd w:id="48"/>
    </w:p>
    <w:p>
      <w:pPr>
        <w:widowControl/>
        <w:spacing w:line="360" w:lineRule="auto"/>
        <w:ind w:firstLine="420" w:firstLineChars="200"/>
        <w:jc w:val="left"/>
        <w:textAlignment w:val="baseline"/>
        <w:rPr>
          <w:rFonts w:ascii="宋体" w:hAnsi="宋体" w:cs="宋体"/>
          <w:color w:val="auto"/>
          <w:szCs w:val="21"/>
          <w:highlight w:val="none"/>
        </w:rPr>
      </w:pPr>
      <w:r>
        <w:rPr>
          <w:rFonts w:hint="eastAsia" w:ascii="宋体" w:hAnsi="宋体" w:cs="宋体"/>
          <w:color w:val="auto"/>
          <w:szCs w:val="21"/>
          <w:highlight w:val="none"/>
        </w:rPr>
        <w:t>5.1获取时间：</w:t>
      </w:r>
      <w:r>
        <w:rPr>
          <w:rFonts w:hint="eastAsia" w:ascii="宋体" w:hAnsi="宋体" w:cs="宋体"/>
          <w:color w:val="auto"/>
          <w:szCs w:val="21"/>
          <w:highlight w:val="none"/>
          <w:u w:val="single"/>
        </w:rPr>
        <w:t>2023年</w:t>
      </w:r>
      <w:r>
        <w:rPr>
          <w:rFonts w:hint="eastAsia" w:ascii="宋体" w:hAnsi="宋体" w:cs="宋体"/>
          <w:color w:val="auto"/>
          <w:szCs w:val="21"/>
          <w:highlight w:val="none"/>
          <w:u w:val="single"/>
          <w:lang w:val="en-US" w:eastAsia="zh-CN"/>
        </w:rPr>
        <w:t>9</w:t>
      </w:r>
      <w:r>
        <w:rPr>
          <w:rFonts w:hint="eastAsia" w:ascii="宋体" w:hAnsi="宋体" w:cs="宋体"/>
          <w:color w:val="auto"/>
          <w:szCs w:val="21"/>
          <w:highlight w:val="none"/>
          <w:u w:val="single"/>
        </w:rPr>
        <w:t>月</w:t>
      </w:r>
      <w:r>
        <w:rPr>
          <w:rFonts w:hint="eastAsia" w:ascii="宋体" w:hAnsi="宋体" w:cs="宋体"/>
          <w:color w:val="auto"/>
          <w:szCs w:val="21"/>
          <w:highlight w:val="none"/>
          <w:u w:val="single"/>
          <w:lang w:val="en-US" w:eastAsia="zh-CN"/>
        </w:rPr>
        <w:t>6</w:t>
      </w:r>
      <w:r>
        <w:rPr>
          <w:rFonts w:hint="eastAsia" w:ascii="宋体" w:hAnsi="宋体" w:cs="宋体"/>
          <w:color w:val="auto"/>
          <w:szCs w:val="21"/>
          <w:highlight w:val="none"/>
          <w:u w:val="single"/>
        </w:rPr>
        <w:t>日至 2023 年</w:t>
      </w:r>
      <w:r>
        <w:rPr>
          <w:rFonts w:hint="eastAsia" w:ascii="宋体" w:hAnsi="宋体" w:cs="宋体"/>
          <w:color w:val="auto"/>
          <w:szCs w:val="21"/>
          <w:highlight w:val="none"/>
          <w:u w:val="single"/>
          <w:lang w:val="en-US" w:eastAsia="zh-CN"/>
        </w:rPr>
        <w:t>9</w:t>
      </w:r>
      <w:r>
        <w:rPr>
          <w:rFonts w:hint="eastAsia" w:ascii="宋体" w:hAnsi="宋体" w:cs="宋体"/>
          <w:color w:val="auto"/>
          <w:szCs w:val="21"/>
          <w:highlight w:val="none"/>
          <w:u w:val="single"/>
        </w:rPr>
        <w:t>月</w:t>
      </w:r>
      <w:r>
        <w:rPr>
          <w:rFonts w:hint="eastAsia" w:ascii="宋体" w:hAnsi="宋体" w:cs="宋体"/>
          <w:color w:val="auto"/>
          <w:szCs w:val="21"/>
          <w:highlight w:val="none"/>
          <w:u w:val="single"/>
          <w:lang w:val="en-US" w:eastAsia="zh-CN"/>
        </w:rPr>
        <w:t>11</w:t>
      </w:r>
      <w:r>
        <w:rPr>
          <w:rFonts w:hint="eastAsia" w:ascii="宋体" w:hAnsi="宋体" w:cs="宋体"/>
          <w:color w:val="auto"/>
          <w:szCs w:val="21"/>
          <w:highlight w:val="none"/>
          <w:u w:val="single"/>
        </w:rPr>
        <w:t>日</w:t>
      </w:r>
      <w:r>
        <w:rPr>
          <w:rFonts w:hint="eastAsia" w:ascii="宋体" w:hAnsi="宋体" w:cs="宋体"/>
          <w:color w:val="auto"/>
          <w:szCs w:val="21"/>
          <w:highlight w:val="none"/>
        </w:rPr>
        <w:t>。</w:t>
      </w:r>
    </w:p>
    <w:p>
      <w:pPr>
        <w:widowControl/>
        <w:spacing w:line="360" w:lineRule="auto"/>
        <w:ind w:firstLine="420" w:firstLineChars="200"/>
        <w:jc w:val="left"/>
        <w:textAlignment w:val="baseline"/>
        <w:rPr>
          <w:rFonts w:ascii="宋体" w:hAnsi="宋体" w:cs="宋体"/>
          <w:color w:val="auto"/>
          <w:szCs w:val="21"/>
          <w:highlight w:val="none"/>
          <w:u w:val="single"/>
        </w:rPr>
      </w:pPr>
      <w:bookmarkStart w:id="49" w:name="_Toc387526173"/>
      <w:bookmarkStart w:id="50" w:name="_Toc387526277"/>
      <w:bookmarkStart w:id="51" w:name="_Toc387526369"/>
      <w:r>
        <w:rPr>
          <w:rFonts w:hint="eastAsia" w:ascii="宋体" w:hAnsi="宋体" w:cs="宋体"/>
          <w:color w:val="auto"/>
          <w:szCs w:val="21"/>
          <w:highlight w:val="none"/>
        </w:rPr>
        <w:t>5.2获取方式：</w:t>
      </w:r>
      <w:r>
        <w:rPr>
          <w:rFonts w:hint="eastAsia" w:ascii="宋体" w:hAnsi="宋体" w:cs="宋体"/>
          <w:color w:val="auto"/>
          <w:szCs w:val="21"/>
          <w:highlight w:val="none"/>
          <w:u w:val="single"/>
        </w:rPr>
        <w:t>投标人于“</w:t>
      </w:r>
      <w:r>
        <w:rPr>
          <w:rFonts w:hint="eastAsia" w:ascii="宋体" w:hAnsi="宋体" w:cs="宋体"/>
          <w:color w:val="auto"/>
          <w:szCs w:val="21"/>
          <w:highlight w:val="none"/>
          <w:u w:val="single"/>
          <w:lang w:eastAsia="zh-CN"/>
        </w:rPr>
        <w:t>南通市中央创新区建设投资有限公司网站</w:t>
      </w:r>
      <w:r>
        <w:rPr>
          <w:rFonts w:hint="eastAsia" w:ascii="宋体" w:hAnsi="宋体" w:cs="宋体"/>
          <w:color w:val="auto"/>
          <w:szCs w:val="21"/>
          <w:highlight w:val="none"/>
          <w:u w:val="single"/>
        </w:rPr>
        <w:t>”自行获取；</w:t>
      </w:r>
    </w:p>
    <w:bookmarkEnd w:id="49"/>
    <w:bookmarkEnd w:id="50"/>
    <w:bookmarkEnd w:id="51"/>
    <w:p>
      <w:pPr>
        <w:keepNext/>
        <w:keepLines/>
        <w:spacing w:line="360" w:lineRule="auto"/>
        <w:outlineLvl w:val="1"/>
        <w:rPr>
          <w:rFonts w:ascii="宋体" w:hAnsi="宋体" w:cs="宋体"/>
          <w:b/>
          <w:color w:val="auto"/>
          <w:szCs w:val="21"/>
          <w:highlight w:val="none"/>
        </w:rPr>
      </w:pPr>
      <w:bookmarkStart w:id="52" w:name="_Toc387526174"/>
      <w:bookmarkStart w:id="53" w:name="_Toc30068"/>
      <w:bookmarkStart w:id="54" w:name="_Toc387526278"/>
      <w:bookmarkStart w:id="55" w:name="_Toc387526370"/>
      <w:bookmarkStart w:id="56" w:name="_Toc9260125"/>
      <w:r>
        <w:rPr>
          <w:rFonts w:hint="eastAsia" w:ascii="宋体" w:hAnsi="宋体" w:cs="宋体"/>
          <w:b/>
          <w:color w:val="auto"/>
          <w:szCs w:val="21"/>
          <w:highlight w:val="none"/>
        </w:rPr>
        <w:t xml:space="preserve">6. </w:t>
      </w:r>
      <w:bookmarkEnd w:id="52"/>
      <w:bookmarkEnd w:id="53"/>
      <w:bookmarkEnd w:id="54"/>
      <w:bookmarkEnd w:id="55"/>
      <w:bookmarkEnd w:id="56"/>
      <w:r>
        <w:rPr>
          <w:rFonts w:hint="eastAsia" w:ascii="宋体" w:hAnsi="宋体" w:cs="宋体"/>
          <w:b/>
          <w:color w:val="auto"/>
          <w:szCs w:val="21"/>
          <w:highlight w:val="none"/>
        </w:rPr>
        <w:t>投标文件的递交</w:t>
      </w:r>
    </w:p>
    <w:p>
      <w:pPr>
        <w:spacing w:line="360" w:lineRule="auto"/>
        <w:ind w:firstLine="420" w:firstLineChars="200"/>
        <w:rPr>
          <w:rFonts w:ascii="宋体" w:hAnsi="宋体" w:cs="宋体"/>
          <w:b/>
          <w:color w:val="auto"/>
          <w:szCs w:val="21"/>
          <w:highlight w:val="none"/>
        </w:rPr>
      </w:pPr>
      <w:r>
        <w:rPr>
          <w:rFonts w:hint="eastAsia" w:ascii="宋体" w:hAnsi="宋体" w:cs="宋体"/>
          <w:color w:val="auto"/>
          <w:szCs w:val="21"/>
          <w:highlight w:val="none"/>
        </w:rPr>
        <w:t>6.1投标文件递交截止时间（投标截止时间，下同）为</w:t>
      </w:r>
      <w:r>
        <w:rPr>
          <w:rFonts w:hint="eastAsia" w:ascii="宋体" w:hAnsi="宋体" w:cs="宋体"/>
          <w:color w:val="auto"/>
          <w:szCs w:val="21"/>
          <w:highlight w:val="none"/>
          <w:u w:val="single"/>
        </w:rPr>
        <w:t>2023年</w:t>
      </w:r>
      <w:r>
        <w:rPr>
          <w:rFonts w:hint="eastAsia" w:ascii="宋体" w:hAnsi="宋体" w:cs="宋体"/>
          <w:color w:val="auto"/>
          <w:szCs w:val="21"/>
          <w:highlight w:val="none"/>
          <w:u w:val="single"/>
          <w:lang w:val="en-US" w:eastAsia="zh-CN"/>
        </w:rPr>
        <w:t>9</w:t>
      </w:r>
      <w:r>
        <w:rPr>
          <w:rFonts w:hint="eastAsia" w:ascii="宋体" w:hAnsi="宋体" w:cs="宋体"/>
          <w:color w:val="auto"/>
          <w:szCs w:val="21"/>
          <w:highlight w:val="none"/>
          <w:u w:val="single"/>
        </w:rPr>
        <w:t>月</w:t>
      </w:r>
      <w:r>
        <w:rPr>
          <w:rFonts w:hint="eastAsia" w:ascii="宋体" w:hAnsi="宋体" w:cs="宋体"/>
          <w:color w:val="auto"/>
          <w:szCs w:val="21"/>
          <w:highlight w:val="none"/>
          <w:u w:val="single"/>
          <w:lang w:val="en-US" w:eastAsia="zh-CN"/>
        </w:rPr>
        <w:t>11</w:t>
      </w:r>
      <w:r>
        <w:rPr>
          <w:rFonts w:hint="eastAsia" w:ascii="宋体" w:hAnsi="宋体" w:cs="宋体"/>
          <w:color w:val="auto"/>
          <w:szCs w:val="21"/>
          <w:highlight w:val="none"/>
          <w:u w:val="single"/>
        </w:rPr>
        <w:t>日</w:t>
      </w:r>
      <w:r>
        <w:rPr>
          <w:rFonts w:hint="eastAsia" w:ascii="宋体" w:hAnsi="宋体" w:cs="宋体"/>
          <w:color w:val="auto"/>
          <w:szCs w:val="21"/>
          <w:highlight w:val="none"/>
          <w:u w:val="single"/>
          <w:lang w:val="en-US" w:eastAsia="zh-CN"/>
        </w:rPr>
        <w:t>09</w:t>
      </w:r>
      <w:r>
        <w:rPr>
          <w:rFonts w:hint="eastAsia" w:ascii="宋体" w:hAnsi="宋体" w:cs="宋体"/>
          <w:color w:val="auto"/>
          <w:szCs w:val="21"/>
          <w:highlight w:val="none"/>
          <w:u w:val="single"/>
        </w:rPr>
        <w:t>时</w:t>
      </w:r>
      <w:r>
        <w:rPr>
          <w:rFonts w:hint="eastAsia" w:ascii="宋体" w:hAnsi="宋体" w:cs="宋体"/>
          <w:color w:val="auto"/>
          <w:szCs w:val="21"/>
          <w:highlight w:val="none"/>
          <w:u w:val="single"/>
          <w:lang w:val="en-US" w:eastAsia="zh-CN"/>
        </w:rPr>
        <w:t>30</w:t>
      </w:r>
      <w:r>
        <w:rPr>
          <w:rFonts w:hint="eastAsia" w:ascii="宋体" w:hAnsi="宋体" w:cs="宋体"/>
          <w:color w:val="auto"/>
          <w:szCs w:val="21"/>
          <w:highlight w:val="none"/>
          <w:u w:val="single"/>
        </w:rPr>
        <w:t>分</w:t>
      </w:r>
      <w:r>
        <w:rPr>
          <w:rFonts w:hint="eastAsia" w:ascii="宋体" w:hAnsi="宋体" w:cs="宋体"/>
          <w:color w:val="auto"/>
          <w:szCs w:val="21"/>
          <w:highlight w:val="none"/>
        </w:rPr>
        <w:t>，提交地点：</w:t>
      </w:r>
      <w:r>
        <w:rPr>
          <w:rFonts w:hint="eastAsia" w:ascii="宋体" w:hAnsi="宋体" w:cs="宋体"/>
          <w:color w:val="auto"/>
          <w:szCs w:val="21"/>
          <w:highlight w:val="none"/>
          <w:u w:val="single"/>
        </w:rPr>
        <w:t>南通市星城路299号创源科技园3号楼5楼501室开标室</w:t>
      </w:r>
      <w:r>
        <w:rPr>
          <w:rFonts w:hint="eastAsia" w:ascii="宋体" w:hAnsi="宋体" w:cs="宋体"/>
          <w:color w:val="auto"/>
          <w:szCs w:val="21"/>
          <w:highlight w:val="none"/>
        </w:rPr>
        <w:t>。</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6.2逾期送达的投标文件，招标人不予受理。</w:t>
      </w:r>
    </w:p>
    <w:p>
      <w:pPr>
        <w:keepNext/>
        <w:keepLines/>
        <w:spacing w:line="360" w:lineRule="auto"/>
        <w:outlineLvl w:val="1"/>
        <w:rPr>
          <w:rFonts w:ascii="宋体" w:hAnsi="宋体" w:cs="宋体"/>
          <w:b/>
          <w:color w:val="auto"/>
          <w:szCs w:val="21"/>
          <w:highlight w:val="none"/>
        </w:rPr>
      </w:pPr>
      <w:bookmarkStart w:id="57" w:name="_Toc387526371"/>
      <w:bookmarkStart w:id="58" w:name="_Toc13051"/>
      <w:bookmarkStart w:id="59" w:name="_Toc387526175"/>
      <w:bookmarkStart w:id="60" w:name="_Toc387526279"/>
      <w:bookmarkStart w:id="61" w:name="_Toc9260126"/>
      <w:r>
        <w:rPr>
          <w:rFonts w:hint="eastAsia" w:ascii="宋体" w:hAnsi="宋体" w:cs="宋体"/>
          <w:b/>
          <w:color w:val="auto"/>
          <w:szCs w:val="21"/>
          <w:highlight w:val="none"/>
        </w:rPr>
        <w:t xml:space="preserve">7. </w:t>
      </w:r>
      <w:bookmarkEnd w:id="57"/>
      <w:bookmarkEnd w:id="58"/>
      <w:bookmarkEnd w:id="59"/>
      <w:bookmarkEnd w:id="60"/>
      <w:r>
        <w:rPr>
          <w:rFonts w:hint="eastAsia" w:ascii="宋体" w:hAnsi="宋体" w:cs="宋体"/>
          <w:b/>
          <w:color w:val="auto"/>
          <w:szCs w:val="21"/>
          <w:highlight w:val="none"/>
        </w:rPr>
        <w:t>发布公告的媒介和时间</w:t>
      </w:r>
      <w:bookmarkEnd w:id="61"/>
    </w:p>
    <w:p>
      <w:pPr>
        <w:keepNext/>
        <w:keepLines/>
        <w:spacing w:line="360" w:lineRule="auto"/>
        <w:outlineLvl w:val="1"/>
        <w:rPr>
          <w:rFonts w:ascii="宋体" w:hAnsi="宋体" w:cs="宋体"/>
          <w:color w:val="auto"/>
          <w:szCs w:val="21"/>
          <w:highlight w:val="none"/>
        </w:rPr>
      </w:pPr>
      <w:bookmarkStart w:id="62" w:name="_Toc9260127"/>
      <w:bookmarkStart w:id="63" w:name="_Toc387526372"/>
      <w:bookmarkStart w:id="64" w:name="_Toc11155"/>
      <w:bookmarkStart w:id="65" w:name="_Toc387526176"/>
      <w:bookmarkStart w:id="66" w:name="_Toc387526280"/>
      <w:r>
        <w:rPr>
          <w:rFonts w:hint="eastAsia" w:ascii="宋体" w:hAnsi="宋体" w:cs="宋体"/>
          <w:color w:val="auto"/>
          <w:szCs w:val="21"/>
          <w:highlight w:val="none"/>
        </w:rPr>
        <w:t>本次招标公告在</w:t>
      </w:r>
      <w:r>
        <w:rPr>
          <w:rFonts w:hint="eastAsia" w:ascii="宋体" w:hAnsi="宋体" w:cs="宋体"/>
          <w:color w:val="auto"/>
          <w:szCs w:val="21"/>
          <w:highlight w:val="none"/>
          <w:u w:val="single"/>
        </w:rPr>
        <w:t>南通市中央创新区建设投资有限公司网站</w:t>
      </w:r>
      <w:r>
        <w:rPr>
          <w:rFonts w:hint="eastAsia" w:ascii="宋体" w:hAnsi="宋体" w:cs="宋体"/>
          <w:color w:val="auto"/>
          <w:szCs w:val="21"/>
          <w:highlight w:val="none"/>
        </w:rPr>
        <w:t>上发布。</w:t>
      </w:r>
    </w:p>
    <w:p>
      <w:pPr>
        <w:keepNext/>
        <w:keepLines/>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8. 联系方式</w:t>
      </w:r>
      <w:bookmarkEnd w:id="62"/>
      <w:bookmarkEnd w:id="63"/>
      <w:bookmarkEnd w:id="64"/>
      <w:bookmarkEnd w:id="65"/>
      <w:bookmarkEnd w:id="66"/>
    </w:p>
    <w:tbl>
      <w:tblPr>
        <w:tblStyle w:val="15"/>
        <w:tblW w:w="1003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3579"/>
        <w:gridCol w:w="1206"/>
        <w:gridCol w:w="4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tblCellSpacing w:w="15" w:type="dxa"/>
          <w:jc w:val="center"/>
        </w:trPr>
        <w:tc>
          <w:tcPr>
            <w:tcW w:w="1039"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招 标 人</w:t>
            </w:r>
          </w:p>
        </w:tc>
        <w:tc>
          <w:tcPr>
            <w:tcW w:w="3549" w:type="dxa"/>
            <w:noWrap/>
            <w:tcMar>
              <w:top w:w="15" w:type="dxa"/>
              <w:left w:w="15" w:type="dxa"/>
              <w:bottom w:w="15" w:type="dxa"/>
              <w:right w:w="15" w:type="dxa"/>
            </w:tcMar>
            <w:vAlign w:val="center"/>
          </w:tcPr>
          <w:p>
            <w:pPr>
              <w:widowControl/>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南通市紫琅公园管理有限公司</w:t>
            </w:r>
          </w:p>
        </w:tc>
        <w:tc>
          <w:tcPr>
            <w:tcW w:w="1176"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招标代理</w:t>
            </w:r>
          </w:p>
        </w:tc>
        <w:tc>
          <w:tcPr>
            <w:tcW w:w="4120" w:type="dxa"/>
            <w:noWrap/>
            <w:tcMar>
              <w:top w:w="15" w:type="dxa"/>
              <w:left w:w="15" w:type="dxa"/>
              <w:bottom w:w="15" w:type="dxa"/>
              <w:right w:w="15" w:type="dxa"/>
            </w:tcMar>
            <w:vAlign w:val="center"/>
          </w:tcPr>
          <w:p>
            <w:pPr>
              <w:widowControl/>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江苏海审工程咨询有限公司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blCellSpacing w:w="15" w:type="dxa"/>
          <w:jc w:val="center"/>
        </w:trPr>
        <w:tc>
          <w:tcPr>
            <w:tcW w:w="1039"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地  址</w:t>
            </w:r>
          </w:p>
        </w:tc>
        <w:tc>
          <w:tcPr>
            <w:tcW w:w="3549" w:type="dxa"/>
            <w:noWrap/>
            <w:tcMar>
              <w:top w:w="15" w:type="dxa"/>
              <w:left w:w="15" w:type="dxa"/>
              <w:bottom w:w="15" w:type="dxa"/>
              <w:right w:w="15" w:type="dxa"/>
            </w:tcMar>
            <w:vAlign w:val="center"/>
          </w:tcPr>
          <w:p>
            <w:pPr>
              <w:widowControl/>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南通市经济技术开发区源兴路与滨水路交叉口往东150米</w:t>
            </w:r>
          </w:p>
        </w:tc>
        <w:tc>
          <w:tcPr>
            <w:tcW w:w="1176"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地 址</w:t>
            </w:r>
          </w:p>
        </w:tc>
        <w:tc>
          <w:tcPr>
            <w:tcW w:w="4120" w:type="dxa"/>
            <w:noWrap/>
            <w:tcMar>
              <w:top w:w="15" w:type="dxa"/>
              <w:left w:w="15" w:type="dxa"/>
              <w:bottom w:w="15" w:type="dxa"/>
              <w:right w:w="15" w:type="dxa"/>
            </w:tcMar>
            <w:vAlign w:val="center"/>
          </w:tcPr>
          <w:p>
            <w:pPr>
              <w:widowControl/>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南通市星城路299号创源科技园3号楼501室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blCellSpacing w:w="15" w:type="dxa"/>
          <w:jc w:val="center"/>
        </w:trPr>
        <w:tc>
          <w:tcPr>
            <w:tcW w:w="1039"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联 系 人</w:t>
            </w:r>
          </w:p>
        </w:tc>
        <w:tc>
          <w:tcPr>
            <w:tcW w:w="3549" w:type="dxa"/>
            <w:noWrap/>
            <w:tcMar>
              <w:top w:w="15" w:type="dxa"/>
              <w:left w:w="15" w:type="dxa"/>
              <w:bottom w:w="15" w:type="dxa"/>
              <w:right w:w="15" w:type="dxa"/>
            </w:tcMar>
            <w:vAlign w:val="center"/>
          </w:tcPr>
          <w:p>
            <w:pPr>
              <w:widowControl/>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吴女士</w:t>
            </w:r>
          </w:p>
        </w:tc>
        <w:tc>
          <w:tcPr>
            <w:tcW w:w="1176"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联 系 人</w:t>
            </w:r>
          </w:p>
        </w:tc>
        <w:tc>
          <w:tcPr>
            <w:tcW w:w="4120" w:type="dxa"/>
            <w:noWrap/>
            <w:tcMar>
              <w:top w:w="15" w:type="dxa"/>
              <w:left w:w="15" w:type="dxa"/>
              <w:bottom w:w="15" w:type="dxa"/>
              <w:right w:w="15" w:type="dxa"/>
            </w:tcMar>
            <w:vAlign w:val="center"/>
          </w:tcPr>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庄卫韦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blCellSpacing w:w="15" w:type="dxa"/>
          <w:jc w:val="center"/>
        </w:trPr>
        <w:tc>
          <w:tcPr>
            <w:tcW w:w="1039"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联系电话</w:t>
            </w:r>
          </w:p>
        </w:tc>
        <w:tc>
          <w:tcPr>
            <w:tcW w:w="3549" w:type="dxa"/>
            <w:noWrap/>
            <w:tcMar>
              <w:top w:w="15" w:type="dxa"/>
              <w:left w:w="15" w:type="dxa"/>
              <w:bottom w:w="15" w:type="dxa"/>
              <w:right w:w="15" w:type="dxa"/>
            </w:tcMar>
            <w:vAlign w:val="center"/>
          </w:tcPr>
          <w:p>
            <w:pPr>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0513-59001899</w:t>
            </w:r>
          </w:p>
        </w:tc>
        <w:tc>
          <w:tcPr>
            <w:tcW w:w="1176"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联系电话</w:t>
            </w:r>
          </w:p>
        </w:tc>
        <w:tc>
          <w:tcPr>
            <w:tcW w:w="4120" w:type="dxa"/>
            <w:noWrap/>
            <w:tcMar>
              <w:top w:w="15" w:type="dxa"/>
              <w:left w:w="15" w:type="dxa"/>
              <w:bottom w:w="15" w:type="dxa"/>
              <w:right w:w="15" w:type="dxa"/>
            </w:tcMar>
            <w:vAlign w:val="center"/>
          </w:tcPr>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18752932069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blCellSpacing w:w="15" w:type="dxa"/>
          <w:jc w:val="center"/>
        </w:trPr>
        <w:tc>
          <w:tcPr>
            <w:tcW w:w="1039"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p>
        </w:tc>
        <w:tc>
          <w:tcPr>
            <w:tcW w:w="3549" w:type="dxa"/>
            <w:noWrap/>
            <w:tcMar>
              <w:top w:w="15" w:type="dxa"/>
              <w:left w:w="15" w:type="dxa"/>
              <w:bottom w:w="15" w:type="dxa"/>
              <w:right w:w="15" w:type="dxa"/>
            </w:tcMar>
            <w:vAlign w:val="center"/>
          </w:tcPr>
          <w:p>
            <w:pPr>
              <w:widowControl/>
              <w:adjustRightInd w:val="0"/>
              <w:snapToGrid w:val="0"/>
              <w:spacing w:line="360" w:lineRule="auto"/>
              <w:jc w:val="left"/>
              <w:rPr>
                <w:rFonts w:ascii="宋体" w:hAnsi="宋体" w:cs="宋体"/>
                <w:color w:val="auto"/>
                <w:szCs w:val="21"/>
                <w:highlight w:val="none"/>
              </w:rPr>
            </w:pPr>
          </w:p>
        </w:tc>
        <w:tc>
          <w:tcPr>
            <w:tcW w:w="1176" w:type="dxa"/>
            <w:noWrap/>
            <w:tcMar>
              <w:top w:w="15" w:type="dxa"/>
              <w:left w:w="15" w:type="dxa"/>
              <w:bottom w:w="15" w:type="dxa"/>
              <w:right w:w="15" w:type="dxa"/>
            </w:tcMar>
            <w:vAlign w:val="center"/>
          </w:tcPr>
          <w:p>
            <w:pPr>
              <w:widowControl/>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邮    箱</w:t>
            </w:r>
          </w:p>
        </w:tc>
        <w:tc>
          <w:tcPr>
            <w:tcW w:w="4120" w:type="dxa"/>
            <w:noWrap/>
            <w:tcMar>
              <w:top w:w="15" w:type="dxa"/>
              <w:left w:w="15" w:type="dxa"/>
              <w:bottom w:w="15" w:type="dxa"/>
              <w:right w:w="15" w:type="dxa"/>
            </w:tcMar>
            <w:vAlign w:val="center"/>
          </w:tcPr>
          <w:p>
            <w:pPr>
              <w:widowControl/>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1072027277@qq.com</w:t>
            </w:r>
          </w:p>
        </w:tc>
      </w:tr>
    </w:tbl>
    <w:p>
      <w:pPr>
        <w:spacing w:line="360" w:lineRule="auto"/>
        <w:ind w:firstLine="420" w:firstLineChars="200"/>
        <w:jc w:val="right"/>
        <w:rPr>
          <w:rFonts w:ascii="宋体" w:hAnsi="宋体" w:cs="宋体"/>
          <w:color w:val="auto"/>
          <w:szCs w:val="21"/>
          <w:highlight w:val="none"/>
          <w:u w:val="single"/>
        </w:rPr>
      </w:pPr>
    </w:p>
    <w:bookmarkEnd w:id="3"/>
    <w:bookmarkEnd w:id="16"/>
    <w:bookmarkEnd w:id="17"/>
    <w:bookmarkEnd w:id="18"/>
    <w:bookmarkEnd w:id="19"/>
    <w:bookmarkEnd w:id="20"/>
    <w:bookmarkEnd w:id="21"/>
    <w:bookmarkEnd w:id="22"/>
    <w:bookmarkEnd w:id="23"/>
    <w:bookmarkEnd w:id="24"/>
    <w:p>
      <w:pPr>
        <w:keepNext/>
        <w:keepLines/>
        <w:pageBreakBefore/>
        <w:spacing w:line="360" w:lineRule="auto"/>
        <w:jc w:val="center"/>
        <w:outlineLvl w:val="0"/>
        <w:rPr>
          <w:rFonts w:ascii="Times New Roman" w:hAnsi="Times New Roman"/>
          <w:b/>
          <w:color w:val="auto"/>
          <w:sz w:val="36"/>
          <w:szCs w:val="36"/>
          <w:highlight w:val="none"/>
        </w:rPr>
      </w:pPr>
      <w:r>
        <w:rPr>
          <w:rFonts w:ascii="Times New Roman" w:hAnsi="Times New Roman"/>
          <w:b/>
          <w:color w:val="auto"/>
          <w:sz w:val="36"/>
          <w:szCs w:val="36"/>
          <w:highlight w:val="none"/>
        </w:rPr>
        <w:t>第二章投标人须知</w:t>
      </w:r>
    </w:p>
    <w:p>
      <w:pPr>
        <w:keepNext/>
        <w:keepLines/>
        <w:spacing w:line="360" w:lineRule="auto"/>
        <w:jc w:val="center"/>
        <w:outlineLvl w:val="1"/>
        <w:rPr>
          <w:rFonts w:ascii="Times New Roman" w:hAnsi="Times New Roman"/>
          <w:b/>
          <w:color w:val="auto"/>
          <w:sz w:val="30"/>
          <w:szCs w:val="30"/>
          <w:highlight w:val="none"/>
        </w:rPr>
      </w:pPr>
      <w:r>
        <w:rPr>
          <w:rFonts w:ascii="Times New Roman" w:hAnsi="Times New Roman"/>
          <w:b/>
          <w:color w:val="auto"/>
          <w:sz w:val="30"/>
          <w:szCs w:val="30"/>
          <w:highlight w:val="none"/>
        </w:rPr>
        <w:t>一、投标须知前附表</w:t>
      </w:r>
    </w:p>
    <w:tbl>
      <w:tblPr>
        <w:tblStyle w:val="15"/>
        <w:tblW w:w="10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68"/>
        <w:gridCol w:w="7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blHeader/>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项目</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内容</w:t>
            </w:r>
          </w:p>
        </w:tc>
        <w:tc>
          <w:tcPr>
            <w:tcW w:w="7136"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招标人</w:t>
            </w:r>
          </w:p>
        </w:tc>
        <w:tc>
          <w:tcPr>
            <w:tcW w:w="7136" w:type="dxa"/>
            <w:vAlign w:val="center"/>
          </w:tcPr>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招标人名称：南通市紫琅公园管理有限公司</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地址：南通市经济技术开发区源兴路与滨水路交叉口往东150米</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联系人：吴女士</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联系电话：0513-59001899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2</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招标代理机构</w:t>
            </w:r>
          </w:p>
        </w:tc>
        <w:tc>
          <w:tcPr>
            <w:tcW w:w="7136" w:type="dxa"/>
            <w:vAlign w:val="center"/>
          </w:tcPr>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名称：江苏海审工程咨询有限公司</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地址：南通市星城路299号创源科技园3号楼501室</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联系人：庄卫韦</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联系电话：18752932069</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邮箱：1072027277@qq.com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3</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项目名称</w:t>
            </w:r>
          </w:p>
        </w:tc>
        <w:tc>
          <w:tcPr>
            <w:tcW w:w="7136" w:type="dxa"/>
            <w:vAlign w:val="center"/>
          </w:tcPr>
          <w:p>
            <w:pPr>
              <w:spacing w:line="360" w:lineRule="auto"/>
              <w:rPr>
                <w:rFonts w:hint="eastAsia" w:ascii="宋体" w:hAnsi="宋体" w:eastAsia="宋体" w:cs="宋体"/>
                <w:color w:val="auto"/>
                <w:spacing w:val="-20"/>
                <w:szCs w:val="21"/>
                <w:highlight w:val="none"/>
                <w:lang w:eastAsia="zh-CN"/>
              </w:rPr>
            </w:pPr>
            <w:r>
              <w:rPr>
                <w:rFonts w:hint="eastAsia" w:ascii="宋体" w:hAnsi="宋体" w:cs="宋体"/>
                <w:color w:val="auto"/>
                <w:szCs w:val="21"/>
                <w:highlight w:val="none"/>
                <w:lang w:eastAsia="zh-CN"/>
              </w:rPr>
              <w:t>南通创新区通沪大道以北区域部分照明设施电子测绘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4</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标段划分</w:t>
            </w:r>
          </w:p>
        </w:tc>
        <w:tc>
          <w:tcPr>
            <w:tcW w:w="7136" w:type="dxa"/>
            <w:vAlign w:val="center"/>
          </w:tcPr>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本项目共1个标段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5</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南通创新区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6</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具体详见项目需求。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7</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服务期限</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u w:val="single"/>
                <w:lang w:val="en-US" w:eastAsia="zh-CN"/>
              </w:rPr>
              <w:t>30</w:t>
            </w:r>
            <w:r>
              <w:rPr>
                <w:rFonts w:hint="eastAsia" w:ascii="宋体" w:hAnsi="宋体" w:cs="宋体"/>
                <w:color w:val="auto"/>
                <w:szCs w:val="21"/>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8</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质量标准</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符合现行国家有关技术规范、标准、规程的等方面的要求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9</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资金来源</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财政统筹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10</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资格审查方式</w:t>
            </w:r>
          </w:p>
        </w:tc>
        <w:tc>
          <w:tcPr>
            <w:tcW w:w="7136" w:type="dxa"/>
            <w:vAlign w:val="center"/>
          </w:tcPr>
          <w:p>
            <w:pPr>
              <w:spacing w:line="360" w:lineRule="auto"/>
              <w:rPr>
                <w:rFonts w:ascii="宋体" w:hAnsi="宋体" w:cs="宋体"/>
                <w:b/>
                <w:color w:val="auto"/>
                <w:szCs w:val="21"/>
                <w:highlight w:val="none"/>
              </w:rPr>
            </w:pPr>
            <w:r>
              <w:rPr>
                <w:rFonts w:hint="eastAsia" w:ascii="宋体" w:hAnsi="宋体" w:cs="宋体"/>
                <w:color w:val="auto"/>
                <w:szCs w:val="21"/>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11</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评标办法</w:t>
            </w:r>
          </w:p>
        </w:tc>
        <w:tc>
          <w:tcPr>
            <w:tcW w:w="7136" w:type="dxa"/>
            <w:vAlign w:val="center"/>
          </w:tcPr>
          <w:p>
            <w:pPr>
              <w:spacing w:line="360" w:lineRule="auto"/>
              <w:rPr>
                <w:rFonts w:ascii="宋体" w:hAnsi="宋体" w:cs="宋体"/>
                <w:b/>
                <w:color w:val="auto"/>
                <w:szCs w:val="21"/>
                <w:highlight w:val="none"/>
              </w:rPr>
            </w:pPr>
            <w:r>
              <w:rPr>
                <w:rFonts w:hint="eastAsia" w:ascii="宋体" w:hAnsi="宋体" w:cs="宋体"/>
                <w:color w:val="auto"/>
                <w:szCs w:val="21"/>
                <w:highlight w:val="none"/>
                <w:lang w:val="en-US" w:eastAsia="zh-CN"/>
              </w:rPr>
              <w:t>价格单因素</w:t>
            </w:r>
            <w:r>
              <w:rPr>
                <w:rFonts w:hint="eastAsia" w:ascii="宋体" w:hAnsi="宋体" w:cs="宋体"/>
                <w:color w:val="auto"/>
                <w:szCs w:val="21"/>
                <w:highlight w:val="none"/>
              </w:rPr>
              <w:t>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12</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投标人要求澄清招标文件截至时间</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b/>
                <w:bCs/>
                <w:color w:val="auto"/>
                <w:szCs w:val="21"/>
                <w:highlight w:val="none"/>
                <w:u w:val="single"/>
              </w:rPr>
              <w:t>2023年</w:t>
            </w:r>
            <w:r>
              <w:rPr>
                <w:rFonts w:hint="eastAsia" w:ascii="宋体" w:hAnsi="宋体" w:cs="宋体"/>
                <w:b/>
                <w:bCs/>
                <w:color w:val="auto"/>
                <w:szCs w:val="21"/>
                <w:highlight w:val="none"/>
                <w:u w:val="single"/>
                <w:lang w:val="en-US" w:eastAsia="zh-CN"/>
              </w:rPr>
              <w:t>9</w:t>
            </w:r>
            <w:r>
              <w:rPr>
                <w:rFonts w:hint="eastAsia" w:ascii="宋体" w:hAnsi="宋体" w:cs="宋体"/>
                <w:b/>
                <w:bCs/>
                <w:color w:val="auto"/>
                <w:szCs w:val="21"/>
                <w:highlight w:val="none"/>
                <w:u w:val="single"/>
              </w:rPr>
              <w:t>月</w:t>
            </w:r>
            <w:r>
              <w:rPr>
                <w:rFonts w:hint="eastAsia" w:ascii="宋体" w:hAnsi="宋体" w:cs="宋体"/>
                <w:b/>
                <w:bCs/>
                <w:color w:val="auto"/>
                <w:szCs w:val="21"/>
                <w:highlight w:val="none"/>
                <w:u w:val="single"/>
                <w:lang w:val="en-US" w:eastAsia="zh-CN"/>
              </w:rPr>
              <w:t>8</w:t>
            </w:r>
            <w:r>
              <w:rPr>
                <w:rFonts w:hint="eastAsia" w:ascii="宋体" w:hAnsi="宋体" w:cs="宋体"/>
                <w:b/>
                <w:bCs/>
                <w:color w:val="auto"/>
                <w:szCs w:val="21"/>
                <w:highlight w:val="none"/>
                <w:u w:val="single"/>
              </w:rPr>
              <w:t>日</w:t>
            </w:r>
            <w:r>
              <w:rPr>
                <w:rFonts w:hint="eastAsia" w:ascii="宋体" w:hAnsi="宋体" w:cs="宋体"/>
                <w:b/>
                <w:bCs/>
                <w:color w:val="auto"/>
                <w:szCs w:val="21"/>
                <w:highlight w:val="none"/>
                <w:u w:val="single"/>
                <w:lang w:val="en-US" w:eastAsia="zh-CN"/>
              </w:rPr>
              <w:t>17</w:t>
            </w:r>
            <w:r>
              <w:rPr>
                <w:rFonts w:hint="eastAsia" w:ascii="宋体" w:hAnsi="宋体" w:cs="宋体"/>
                <w:b/>
                <w:bCs/>
                <w:color w:val="auto"/>
                <w:szCs w:val="21"/>
                <w:highlight w:val="none"/>
                <w:u w:val="single"/>
              </w:rPr>
              <w:t>时00分</w:t>
            </w:r>
            <w:r>
              <w:rPr>
                <w:rFonts w:hint="eastAsia" w:ascii="宋体" w:hAnsi="宋体" w:cs="宋体"/>
                <w:color w:val="auto"/>
                <w:szCs w:val="21"/>
                <w:highlight w:val="none"/>
                <w:lang w:val="en-US" w:eastAsia="zh-CN"/>
              </w:rPr>
              <w:t>后</w:t>
            </w:r>
            <w:r>
              <w:rPr>
                <w:rFonts w:hint="eastAsia" w:ascii="宋体" w:hAnsi="宋体" w:cs="宋体"/>
                <w:color w:val="auto"/>
                <w:szCs w:val="21"/>
                <w:highlight w:val="none"/>
              </w:rPr>
              <w:t>以电子邮件形式（不具单位名称）</w:t>
            </w:r>
            <w:r>
              <w:rPr>
                <w:color w:val="auto"/>
                <w:highlight w:val="none"/>
              </w:rPr>
              <w:fldChar w:fldCharType="begin"/>
            </w:r>
            <w:r>
              <w:rPr>
                <w:color w:val="auto"/>
                <w:highlight w:val="none"/>
              </w:rPr>
              <w:instrText xml:space="preserve"> HYPERLINK "mailto:发送至ntcjzb@126.com" </w:instrText>
            </w:r>
            <w:r>
              <w:rPr>
                <w:color w:val="auto"/>
                <w:highlight w:val="none"/>
              </w:rPr>
              <w:fldChar w:fldCharType="separate"/>
            </w:r>
            <w:r>
              <w:rPr>
                <w:rStyle w:val="24"/>
                <w:rFonts w:hint="eastAsia" w:ascii="宋体" w:hAnsi="宋体" w:cs="宋体"/>
                <w:color w:val="auto"/>
                <w:szCs w:val="21"/>
                <w:highlight w:val="none"/>
              </w:rPr>
              <w:t>发送至1072027277@qq.com</w:t>
            </w:r>
            <w:r>
              <w:rPr>
                <w:rStyle w:val="24"/>
                <w:rFonts w:hint="eastAsia" w:ascii="宋体" w:hAnsi="宋体" w:cs="宋体"/>
                <w:color w:val="auto"/>
                <w:szCs w:val="21"/>
                <w:highlight w:val="none"/>
              </w:rPr>
              <w:fldChar w:fldCharType="end"/>
            </w:r>
            <w:r>
              <w:rPr>
                <w:rFonts w:hint="eastAsia" w:ascii="宋体" w:hAnsi="宋体" w:cs="宋体"/>
                <w:color w:val="auto"/>
                <w:szCs w:val="21"/>
                <w:highlight w:val="none"/>
              </w:rPr>
              <w:t>招标代理专用邮箱提出质疑。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10" w:type="dxa"/>
            <w:vAlign w:val="center"/>
          </w:tcPr>
          <w:p>
            <w:pPr>
              <w:spacing w:line="360" w:lineRule="auto"/>
              <w:jc w:val="center"/>
              <w:rPr>
                <w:rFonts w:ascii="宋体" w:hAnsi="宋体" w:cs="宋体"/>
                <w:color w:val="auto"/>
                <w:szCs w:val="21"/>
                <w:highlight w:val="none"/>
              </w:rPr>
            </w:pPr>
            <w:bookmarkStart w:id="67" w:name="_Hlk51919195"/>
            <w:r>
              <w:rPr>
                <w:rFonts w:hint="eastAsia" w:ascii="宋体" w:hAnsi="宋体" w:cs="宋体"/>
                <w:color w:val="auto"/>
                <w:szCs w:val="21"/>
                <w:highlight w:val="none"/>
              </w:rPr>
              <w:t>13</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最高限价</w:t>
            </w:r>
          </w:p>
        </w:tc>
        <w:tc>
          <w:tcPr>
            <w:tcW w:w="7136" w:type="dxa"/>
            <w:vAlign w:val="center"/>
          </w:tcPr>
          <w:p>
            <w:pPr>
              <w:spacing w:line="360" w:lineRule="auto"/>
              <w:rPr>
                <w:rFonts w:ascii="宋体" w:hAnsi="宋体" w:cs="宋体"/>
                <w:b/>
                <w:color w:val="auto"/>
                <w:szCs w:val="21"/>
                <w:highlight w:val="none"/>
              </w:rPr>
            </w:pPr>
            <w:r>
              <w:rPr>
                <w:rFonts w:hint="eastAsia" w:ascii="宋体" w:hAnsi="宋体" w:cs="宋体"/>
                <w:color w:val="auto"/>
                <w:szCs w:val="21"/>
                <w:highlight w:val="none"/>
                <w:lang w:val="en-US" w:eastAsia="zh-CN"/>
              </w:rPr>
              <w:t>最高</w:t>
            </w:r>
            <w:r>
              <w:rPr>
                <w:rFonts w:hint="eastAsia" w:ascii="宋体" w:hAnsi="宋体" w:cs="宋体"/>
                <w:color w:val="auto"/>
                <w:szCs w:val="21"/>
                <w:highlight w:val="none"/>
              </w:rPr>
              <w:t>限价：</w:t>
            </w:r>
            <w:r>
              <w:rPr>
                <w:rFonts w:hint="eastAsia" w:ascii="宋体" w:hAnsi="宋体" w:cs="宋体"/>
                <w:color w:val="auto"/>
                <w:szCs w:val="21"/>
                <w:highlight w:val="none"/>
                <w:u w:val="single"/>
                <w:lang w:val="en-US" w:eastAsia="zh-CN"/>
              </w:rPr>
              <w:t>10</w:t>
            </w:r>
            <w:r>
              <w:rPr>
                <w:rFonts w:hint="eastAsia" w:ascii="宋体" w:hAnsi="宋体" w:cs="宋体"/>
                <w:color w:val="auto"/>
                <w:szCs w:val="21"/>
                <w:highlight w:val="none"/>
                <w:u w:val="single"/>
              </w:rPr>
              <w:t>万元</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道路照明管线长度</w:t>
            </w:r>
            <w:r>
              <w:rPr>
                <w:rFonts w:hint="eastAsia" w:ascii="宋体" w:hAnsi="宋体" w:cs="宋体"/>
                <w:color w:val="auto"/>
                <w:szCs w:val="21"/>
                <w:highlight w:val="none"/>
              </w:rPr>
              <w:t>暂估</w:t>
            </w:r>
            <w:r>
              <w:rPr>
                <w:rFonts w:hint="eastAsia" w:ascii="宋体" w:hAnsi="宋体" w:cs="宋体"/>
                <w:color w:val="auto"/>
                <w:szCs w:val="21"/>
                <w:highlight w:val="none"/>
                <w:lang w:val="en-US" w:eastAsia="zh-CN"/>
              </w:rPr>
              <w:t>50</w:t>
            </w:r>
            <w:r>
              <w:rPr>
                <w:rFonts w:hint="eastAsia" w:ascii="宋体" w:hAnsi="宋体" w:cs="宋体"/>
                <w:color w:val="auto"/>
                <w:szCs w:val="21"/>
                <w:highlight w:val="none"/>
              </w:rPr>
              <w:t>km，最终</w:t>
            </w:r>
            <w:r>
              <w:rPr>
                <w:rFonts w:hint="eastAsia" w:ascii="宋体" w:hAnsi="宋体" w:cs="宋体"/>
                <w:color w:val="auto"/>
                <w:szCs w:val="21"/>
                <w:highlight w:val="none"/>
                <w:lang w:val="en-US" w:eastAsia="zh-CN"/>
              </w:rPr>
              <w:t>工程量</w:t>
            </w:r>
            <w:r>
              <w:rPr>
                <w:rFonts w:hint="eastAsia" w:ascii="宋体" w:hAnsi="宋体" w:cs="宋体"/>
                <w:color w:val="auto"/>
                <w:szCs w:val="21"/>
                <w:highlight w:val="none"/>
              </w:rPr>
              <w:t>按实核算，以审计结果为准。</w:t>
            </w:r>
          </w:p>
        </w:tc>
      </w:tr>
      <w:bookmarkEnd w:id="6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10"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14</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45日历天（从投标截止之日起算）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10" w:type="dxa"/>
            <w:vAlign w:val="center"/>
          </w:tcPr>
          <w:p>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5</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投标文件</w:t>
            </w:r>
          </w:p>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份数</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一式</w:t>
            </w:r>
            <w:r>
              <w:rPr>
                <w:rFonts w:hint="eastAsia" w:ascii="宋体" w:hAnsi="宋体" w:cs="宋体"/>
                <w:b/>
                <w:color w:val="auto"/>
                <w:szCs w:val="21"/>
                <w:highlight w:val="none"/>
                <w:u w:val="single"/>
              </w:rPr>
              <w:t>肆</w:t>
            </w:r>
            <w:r>
              <w:rPr>
                <w:rFonts w:hint="eastAsia" w:ascii="宋体" w:hAnsi="宋体" w:cs="宋体"/>
                <w:color w:val="auto"/>
                <w:szCs w:val="21"/>
                <w:highlight w:val="none"/>
              </w:rPr>
              <w:t>份，其中正本</w:t>
            </w:r>
            <w:r>
              <w:rPr>
                <w:rFonts w:hint="eastAsia" w:ascii="宋体" w:hAnsi="宋体" w:cs="宋体"/>
                <w:b/>
                <w:color w:val="auto"/>
                <w:szCs w:val="21"/>
                <w:highlight w:val="none"/>
                <w:u w:val="single"/>
              </w:rPr>
              <w:t>壹</w:t>
            </w:r>
            <w:r>
              <w:rPr>
                <w:rFonts w:hint="eastAsia" w:ascii="宋体" w:hAnsi="宋体" w:cs="宋体"/>
                <w:color w:val="auto"/>
                <w:szCs w:val="21"/>
                <w:highlight w:val="none"/>
              </w:rPr>
              <w:t>份，副本</w:t>
            </w:r>
            <w:r>
              <w:rPr>
                <w:rFonts w:hint="eastAsia" w:ascii="宋体" w:hAnsi="宋体" w:cs="宋体"/>
                <w:b/>
                <w:color w:val="auto"/>
                <w:szCs w:val="21"/>
                <w:highlight w:val="none"/>
                <w:u w:val="single"/>
              </w:rPr>
              <w:t>叁</w:t>
            </w:r>
            <w:r>
              <w:rPr>
                <w:rFonts w:hint="eastAsia" w:ascii="宋体" w:hAnsi="宋体" w:cs="宋体"/>
                <w:color w:val="auto"/>
                <w:szCs w:val="21"/>
                <w:highlight w:val="none"/>
              </w:rPr>
              <w:t>份（其中资格审查</w:t>
            </w:r>
            <w:r>
              <w:rPr>
                <w:rFonts w:hint="eastAsia" w:ascii="宋体" w:hAnsi="宋体" w:cs="宋体"/>
                <w:color w:val="auto"/>
                <w:szCs w:val="21"/>
                <w:highlight w:val="none"/>
                <w:lang w:val="en-US" w:eastAsia="zh-CN"/>
              </w:rPr>
              <w:t>文件</w:t>
            </w:r>
            <w:r>
              <w:rPr>
                <w:rFonts w:hint="eastAsia" w:ascii="宋体" w:hAnsi="宋体" w:cs="宋体"/>
                <w:color w:val="auto"/>
                <w:szCs w:val="21"/>
                <w:highlight w:val="none"/>
              </w:rPr>
              <w:t>、商务标分开装袋密封）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10" w:type="dxa"/>
            <w:vAlign w:val="center"/>
          </w:tcPr>
          <w:p>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6</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踏勘现场</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10" w:type="dxa"/>
            <w:vAlign w:val="center"/>
          </w:tcPr>
          <w:p>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7</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投标文件提交地点及截止时间</w:t>
            </w:r>
          </w:p>
        </w:tc>
        <w:tc>
          <w:tcPr>
            <w:tcW w:w="7136" w:type="dxa"/>
            <w:vAlign w:val="center"/>
          </w:tcPr>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截止时间：</w:t>
            </w:r>
            <w:r>
              <w:rPr>
                <w:rFonts w:hint="eastAsia" w:ascii="宋体" w:hAnsi="宋体" w:cs="宋体"/>
                <w:b/>
                <w:color w:val="auto"/>
                <w:szCs w:val="21"/>
                <w:highlight w:val="none"/>
                <w:u w:val="single"/>
              </w:rPr>
              <w:t>2023年</w:t>
            </w:r>
            <w:r>
              <w:rPr>
                <w:rFonts w:hint="eastAsia" w:ascii="宋体" w:hAnsi="宋体" w:cs="宋体"/>
                <w:b/>
                <w:color w:val="auto"/>
                <w:szCs w:val="21"/>
                <w:highlight w:val="none"/>
                <w:u w:val="single"/>
                <w:lang w:val="en-US" w:eastAsia="zh-CN"/>
              </w:rPr>
              <w:t>9</w:t>
            </w:r>
            <w:r>
              <w:rPr>
                <w:rFonts w:hint="eastAsia" w:ascii="宋体" w:hAnsi="宋体" w:cs="宋体"/>
                <w:b/>
                <w:color w:val="auto"/>
                <w:szCs w:val="21"/>
                <w:highlight w:val="none"/>
                <w:u w:val="single"/>
              </w:rPr>
              <w:t>月</w:t>
            </w:r>
            <w:r>
              <w:rPr>
                <w:rFonts w:hint="eastAsia" w:ascii="宋体" w:hAnsi="宋体" w:cs="宋体"/>
                <w:b/>
                <w:color w:val="auto"/>
                <w:szCs w:val="21"/>
                <w:highlight w:val="none"/>
                <w:u w:val="single"/>
                <w:lang w:val="en-US" w:eastAsia="zh-CN"/>
              </w:rPr>
              <w:t>11</w:t>
            </w:r>
            <w:r>
              <w:rPr>
                <w:rFonts w:hint="eastAsia" w:ascii="宋体" w:hAnsi="宋体" w:cs="宋体"/>
                <w:b/>
                <w:color w:val="auto"/>
                <w:szCs w:val="21"/>
                <w:highlight w:val="none"/>
                <w:u w:val="single"/>
              </w:rPr>
              <w:t>日</w:t>
            </w:r>
            <w:r>
              <w:rPr>
                <w:rFonts w:hint="eastAsia" w:ascii="宋体" w:hAnsi="宋体" w:cs="宋体"/>
                <w:b/>
                <w:color w:val="auto"/>
                <w:szCs w:val="21"/>
                <w:highlight w:val="none"/>
                <w:u w:val="single"/>
                <w:lang w:val="en-US" w:eastAsia="zh-CN"/>
              </w:rPr>
              <w:t>09</w:t>
            </w:r>
            <w:r>
              <w:rPr>
                <w:rFonts w:hint="eastAsia" w:ascii="宋体" w:hAnsi="宋体" w:cs="宋体"/>
                <w:b/>
                <w:color w:val="auto"/>
                <w:szCs w:val="21"/>
                <w:highlight w:val="none"/>
                <w:u w:val="single"/>
              </w:rPr>
              <w:t>时</w:t>
            </w:r>
            <w:r>
              <w:rPr>
                <w:rFonts w:hint="eastAsia" w:ascii="宋体" w:hAnsi="宋体" w:cs="宋体"/>
                <w:b/>
                <w:color w:val="auto"/>
                <w:szCs w:val="21"/>
                <w:highlight w:val="none"/>
                <w:u w:val="single"/>
                <w:lang w:val="en-US" w:eastAsia="zh-CN"/>
              </w:rPr>
              <w:t>30</w:t>
            </w:r>
            <w:r>
              <w:rPr>
                <w:rFonts w:hint="eastAsia" w:ascii="宋体" w:hAnsi="宋体" w:cs="宋体"/>
                <w:b/>
                <w:color w:val="auto"/>
                <w:szCs w:val="21"/>
                <w:highlight w:val="none"/>
                <w:u w:val="single"/>
              </w:rPr>
              <w:t>分</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提交地点：</w:t>
            </w:r>
            <w:r>
              <w:rPr>
                <w:rFonts w:hint="eastAsia" w:ascii="宋体" w:hAnsi="宋体" w:cs="宋体"/>
                <w:b/>
                <w:color w:val="auto"/>
                <w:szCs w:val="21"/>
                <w:highlight w:val="none"/>
                <w:u w:val="single"/>
              </w:rPr>
              <w:t>南通市星城路299号创源科技园3号楼501室江苏海审开标室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710" w:type="dxa"/>
            <w:vAlign w:val="center"/>
          </w:tcPr>
          <w:p>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8</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开标地点及时间</w:t>
            </w:r>
          </w:p>
        </w:tc>
        <w:tc>
          <w:tcPr>
            <w:tcW w:w="7136" w:type="dxa"/>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开标时间：</w:t>
            </w:r>
            <w:r>
              <w:rPr>
                <w:rFonts w:hint="eastAsia" w:ascii="宋体" w:hAnsi="宋体" w:cs="宋体"/>
                <w:b/>
                <w:color w:val="auto"/>
                <w:szCs w:val="21"/>
                <w:highlight w:val="none"/>
                <w:u w:val="single"/>
              </w:rPr>
              <w:t>2023年</w:t>
            </w:r>
            <w:r>
              <w:rPr>
                <w:rFonts w:hint="eastAsia" w:ascii="宋体" w:hAnsi="宋体" w:cs="宋体"/>
                <w:b/>
                <w:color w:val="auto"/>
                <w:szCs w:val="21"/>
                <w:highlight w:val="none"/>
                <w:u w:val="single"/>
                <w:lang w:val="en-US" w:eastAsia="zh-CN"/>
              </w:rPr>
              <w:t>9</w:t>
            </w:r>
            <w:r>
              <w:rPr>
                <w:rFonts w:hint="eastAsia" w:ascii="宋体" w:hAnsi="宋体" w:cs="宋体"/>
                <w:b/>
                <w:color w:val="auto"/>
                <w:szCs w:val="21"/>
                <w:highlight w:val="none"/>
                <w:u w:val="single"/>
              </w:rPr>
              <w:t>月</w:t>
            </w:r>
            <w:r>
              <w:rPr>
                <w:rFonts w:hint="eastAsia" w:ascii="宋体" w:hAnsi="宋体" w:cs="宋体"/>
                <w:b/>
                <w:color w:val="auto"/>
                <w:szCs w:val="21"/>
                <w:highlight w:val="none"/>
                <w:u w:val="single"/>
                <w:lang w:val="en-US" w:eastAsia="zh-CN"/>
              </w:rPr>
              <w:t>11</w:t>
            </w:r>
            <w:r>
              <w:rPr>
                <w:rFonts w:hint="eastAsia" w:ascii="宋体" w:hAnsi="宋体" w:cs="宋体"/>
                <w:b/>
                <w:color w:val="auto"/>
                <w:szCs w:val="21"/>
                <w:highlight w:val="none"/>
                <w:u w:val="single"/>
              </w:rPr>
              <w:t>日</w:t>
            </w:r>
            <w:r>
              <w:rPr>
                <w:rFonts w:hint="eastAsia" w:ascii="宋体" w:hAnsi="宋体" w:cs="宋体"/>
                <w:b/>
                <w:color w:val="auto"/>
                <w:szCs w:val="21"/>
                <w:highlight w:val="none"/>
                <w:u w:val="single"/>
                <w:lang w:val="en-US" w:eastAsia="zh-CN"/>
              </w:rPr>
              <w:t>09</w:t>
            </w:r>
            <w:r>
              <w:rPr>
                <w:rFonts w:hint="eastAsia" w:ascii="宋体" w:hAnsi="宋体" w:cs="宋体"/>
                <w:b/>
                <w:color w:val="auto"/>
                <w:szCs w:val="21"/>
                <w:highlight w:val="none"/>
                <w:u w:val="single"/>
              </w:rPr>
              <w:t>时</w:t>
            </w:r>
            <w:r>
              <w:rPr>
                <w:rFonts w:hint="eastAsia" w:ascii="宋体" w:hAnsi="宋体" w:cs="宋体"/>
                <w:b/>
                <w:color w:val="auto"/>
                <w:szCs w:val="21"/>
                <w:highlight w:val="none"/>
                <w:u w:val="single"/>
                <w:lang w:val="en-US" w:eastAsia="zh-CN"/>
              </w:rPr>
              <w:t>30</w:t>
            </w:r>
            <w:r>
              <w:rPr>
                <w:rFonts w:hint="eastAsia" w:ascii="宋体" w:hAnsi="宋体" w:cs="宋体"/>
                <w:b/>
                <w:color w:val="auto"/>
                <w:szCs w:val="21"/>
                <w:highlight w:val="none"/>
                <w:u w:val="single"/>
              </w:rPr>
              <w:t>分</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开标地点：</w:t>
            </w:r>
            <w:r>
              <w:rPr>
                <w:rFonts w:hint="eastAsia" w:ascii="宋体" w:hAnsi="宋体" w:cs="宋体"/>
                <w:b/>
                <w:color w:val="auto"/>
                <w:szCs w:val="21"/>
                <w:highlight w:val="none"/>
                <w:u w:val="single"/>
              </w:rPr>
              <w:t>南通市星城路299号创源科技园3号楼501室江苏海审开标室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10" w:type="dxa"/>
            <w:vAlign w:val="center"/>
          </w:tcPr>
          <w:p>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19</w:t>
            </w:r>
          </w:p>
        </w:tc>
        <w:tc>
          <w:tcPr>
            <w:tcW w:w="2268"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评标委员会的组建</w:t>
            </w:r>
          </w:p>
        </w:tc>
        <w:tc>
          <w:tcPr>
            <w:tcW w:w="7136" w:type="dxa"/>
            <w:vAlign w:val="center"/>
          </w:tcPr>
          <w:p>
            <w:pPr>
              <w:spacing w:line="360" w:lineRule="auto"/>
              <w:jc w:val="left"/>
              <w:rPr>
                <w:rFonts w:ascii="宋体" w:hAnsi="宋体" w:cs="宋体"/>
                <w:color w:val="auto"/>
                <w:szCs w:val="21"/>
                <w:highlight w:val="none"/>
              </w:rPr>
            </w:pPr>
            <w:r>
              <w:rPr>
                <w:rFonts w:hint="eastAsia" w:ascii="宋体" w:hAnsi="宋体" w:cs="宋体"/>
                <w:color w:val="auto"/>
                <w:szCs w:val="21"/>
                <w:highlight w:val="none"/>
                <w:lang w:val="en-US" w:eastAsia="zh-CN"/>
              </w:rPr>
              <w:t>由 3人或3人以上单数构成。</w:t>
            </w:r>
          </w:p>
        </w:tc>
      </w:tr>
    </w:tbl>
    <w:p>
      <w:pPr>
        <w:rPr>
          <w:color w:val="auto"/>
          <w:highlight w:val="none"/>
        </w:rPr>
      </w:pPr>
    </w:p>
    <w:p>
      <w:pPr>
        <w:rPr>
          <w:color w:val="auto"/>
          <w:highlight w:val="none"/>
        </w:rPr>
      </w:pPr>
    </w:p>
    <w:p>
      <w:pPr>
        <w:rPr>
          <w:color w:val="auto"/>
          <w:highlight w:val="none"/>
        </w:rPr>
      </w:pPr>
    </w:p>
    <w:p>
      <w:pPr>
        <w:keepNext/>
        <w:keepLines/>
        <w:spacing w:line="360" w:lineRule="auto"/>
        <w:jc w:val="center"/>
        <w:outlineLvl w:val="1"/>
        <w:rPr>
          <w:rFonts w:ascii="Times New Roman" w:hAnsi="Times New Roman"/>
          <w:b/>
          <w:color w:val="auto"/>
          <w:sz w:val="30"/>
          <w:szCs w:val="30"/>
          <w:highlight w:val="none"/>
        </w:rPr>
      </w:pPr>
      <w:r>
        <w:rPr>
          <w:rFonts w:ascii="Times New Roman" w:hAnsi="Times New Roman"/>
          <w:b/>
          <w:color w:val="auto"/>
          <w:sz w:val="30"/>
          <w:szCs w:val="30"/>
          <w:highlight w:val="none"/>
        </w:rPr>
        <w:br w:type="page"/>
      </w:r>
      <w:r>
        <w:rPr>
          <w:rFonts w:ascii="Times New Roman" w:hAnsi="Times New Roman"/>
          <w:b/>
          <w:color w:val="auto"/>
          <w:sz w:val="30"/>
          <w:szCs w:val="30"/>
          <w:highlight w:val="none"/>
        </w:rPr>
        <w:t>二、投标人须知</w:t>
      </w:r>
    </w:p>
    <w:p>
      <w:pPr>
        <w:spacing w:line="300" w:lineRule="auto"/>
        <w:ind w:firstLine="562" w:firstLineChars="200"/>
        <w:jc w:val="center"/>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一、</w:t>
      </w:r>
      <w:r>
        <w:rPr>
          <w:rFonts w:ascii="Times New Roman" w:hAnsi="Times New Roman"/>
          <w:b/>
          <w:bCs/>
          <w:color w:val="auto"/>
          <w:sz w:val="28"/>
          <w:szCs w:val="28"/>
          <w:highlight w:val="none"/>
        </w:rPr>
        <w:t>总则</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1、工程概况</w:t>
      </w:r>
    </w:p>
    <w:p>
      <w:pPr>
        <w:spacing w:line="360" w:lineRule="auto"/>
        <w:ind w:firstLine="422" w:firstLineChars="200"/>
        <w:rPr>
          <w:rFonts w:ascii="宋体" w:hAnsi="宋体" w:cs="宋体"/>
          <w:color w:val="auto"/>
          <w:szCs w:val="21"/>
          <w:highlight w:val="none"/>
        </w:rPr>
      </w:pPr>
      <w:r>
        <w:rPr>
          <w:rFonts w:hint="eastAsia" w:ascii="宋体" w:hAnsi="宋体" w:cs="宋体"/>
          <w:b/>
          <w:bCs/>
          <w:color w:val="auto"/>
          <w:szCs w:val="21"/>
          <w:highlight w:val="none"/>
        </w:rPr>
        <w:t>1.1</w:t>
      </w:r>
      <w:r>
        <w:rPr>
          <w:rFonts w:hint="eastAsia" w:ascii="宋体" w:hAnsi="宋体" w:cs="宋体"/>
          <w:color w:val="auto"/>
          <w:szCs w:val="21"/>
          <w:highlight w:val="none"/>
        </w:rPr>
        <w:t>招标的范围及内容：见投标人须知前附表。</w:t>
      </w:r>
    </w:p>
    <w:p>
      <w:pPr>
        <w:spacing w:line="360" w:lineRule="auto"/>
        <w:ind w:firstLine="422" w:firstLineChars="200"/>
        <w:rPr>
          <w:rFonts w:ascii="宋体" w:hAnsi="宋体" w:cs="宋体"/>
          <w:color w:val="auto"/>
          <w:szCs w:val="21"/>
          <w:highlight w:val="none"/>
          <w:u w:val="single"/>
        </w:rPr>
      </w:pPr>
      <w:r>
        <w:rPr>
          <w:rFonts w:hint="eastAsia" w:ascii="宋体" w:hAnsi="宋体" w:cs="宋体"/>
          <w:b/>
          <w:color w:val="auto"/>
          <w:szCs w:val="21"/>
          <w:highlight w:val="none"/>
        </w:rPr>
        <w:t>1.2</w:t>
      </w:r>
      <w:r>
        <w:rPr>
          <w:rFonts w:hint="eastAsia" w:ascii="宋体" w:hAnsi="宋体" w:cs="宋体"/>
          <w:color w:val="auto"/>
          <w:szCs w:val="21"/>
          <w:highlight w:val="none"/>
        </w:rPr>
        <w:t>招标人提供现场办公条件（包括交通、住宿等）：</w:t>
      </w:r>
      <w:r>
        <w:rPr>
          <w:rFonts w:hint="eastAsia" w:ascii="宋体" w:hAnsi="宋体" w:cs="宋体"/>
          <w:color w:val="auto"/>
          <w:szCs w:val="21"/>
          <w:highlight w:val="none"/>
          <w:u w:val="single"/>
        </w:rPr>
        <w:t>投标人自理。</w:t>
      </w:r>
    </w:p>
    <w:p>
      <w:pPr>
        <w:spacing w:line="360" w:lineRule="auto"/>
        <w:ind w:firstLine="422" w:firstLineChars="200"/>
        <w:rPr>
          <w:rFonts w:ascii="宋体" w:hAnsi="宋体" w:cs="宋体"/>
          <w:color w:val="auto"/>
          <w:szCs w:val="21"/>
          <w:highlight w:val="none"/>
        </w:rPr>
      </w:pPr>
      <w:r>
        <w:rPr>
          <w:rFonts w:hint="eastAsia" w:ascii="宋体" w:hAnsi="宋体" w:cs="宋体"/>
          <w:b/>
          <w:bCs/>
          <w:color w:val="auto"/>
          <w:szCs w:val="21"/>
          <w:highlight w:val="none"/>
        </w:rPr>
        <w:t>1.3</w:t>
      </w:r>
      <w:r>
        <w:rPr>
          <w:rFonts w:hint="eastAsia" w:ascii="宋体" w:hAnsi="宋体" w:cs="宋体"/>
          <w:color w:val="auto"/>
          <w:szCs w:val="21"/>
          <w:highlight w:val="none"/>
        </w:rPr>
        <w:t>按照《中华人民共和国招标投标法》及国家有关工程检测的规定，对上述工程采用</w:t>
      </w:r>
      <w:r>
        <w:rPr>
          <w:rFonts w:hint="eastAsia" w:ascii="宋体" w:hAnsi="宋体" w:cs="宋体"/>
          <w:b/>
          <w:color w:val="auto"/>
          <w:szCs w:val="21"/>
          <w:highlight w:val="none"/>
          <w:u w:val="single"/>
        </w:rPr>
        <w:t>公开招标</w:t>
      </w:r>
      <w:r>
        <w:rPr>
          <w:rFonts w:hint="eastAsia" w:ascii="宋体" w:hAnsi="宋体" w:cs="宋体"/>
          <w:color w:val="auto"/>
          <w:szCs w:val="21"/>
          <w:highlight w:val="none"/>
        </w:rPr>
        <w:t>的方式招标，招标人采用综合评分法确定中标单位。</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2、投标人应当具备的资质要求</w:t>
      </w:r>
    </w:p>
    <w:p>
      <w:pPr>
        <w:spacing w:line="360" w:lineRule="auto"/>
        <w:ind w:firstLine="422" w:firstLineChars="200"/>
        <w:rPr>
          <w:rFonts w:ascii="宋体" w:hAnsi="宋体" w:cs="宋体"/>
          <w:color w:val="auto"/>
          <w:szCs w:val="21"/>
          <w:highlight w:val="none"/>
        </w:rPr>
      </w:pPr>
      <w:r>
        <w:rPr>
          <w:rFonts w:hint="eastAsia" w:ascii="宋体" w:hAnsi="宋体" w:cs="宋体"/>
          <w:b/>
          <w:bCs/>
          <w:color w:val="auto"/>
          <w:szCs w:val="21"/>
          <w:highlight w:val="none"/>
        </w:rPr>
        <w:t>2.1</w:t>
      </w:r>
      <w:r>
        <w:rPr>
          <w:rFonts w:hint="eastAsia" w:ascii="宋体" w:hAnsi="宋体" w:cs="宋体"/>
          <w:color w:val="auto"/>
          <w:szCs w:val="21"/>
          <w:highlight w:val="none"/>
        </w:rPr>
        <w:t>投标人资质要求：</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（1）投标人必须具有独立订立合同的能力；</w:t>
      </w:r>
    </w:p>
    <w:p>
      <w:pPr>
        <w:spacing w:line="360" w:lineRule="auto"/>
        <w:ind w:firstLine="420" w:firstLineChars="200"/>
        <w:rPr>
          <w:rFonts w:ascii="宋体" w:hAnsi="宋体" w:cs="宋体"/>
          <w:b/>
          <w:color w:val="auto"/>
          <w:szCs w:val="21"/>
          <w:highlight w:val="none"/>
          <w:u w:val="single"/>
        </w:rPr>
      </w:pPr>
      <w:r>
        <w:rPr>
          <w:rFonts w:hint="eastAsia" w:ascii="宋体" w:hAnsi="宋体" w:cs="宋体"/>
          <w:color w:val="auto"/>
          <w:szCs w:val="21"/>
          <w:highlight w:val="none"/>
        </w:rPr>
        <w:t>（2）特定资格要求：</w:t>
      </w:r>
      <w:r>
        <w:rPr>
          <w:rFonts w:hint="eastAsia" w:ascii="宋体" w:hAnsi="宋体" w:cs="宋体"/>
          <w:b/>
          <w:color w:val="auto"/>
          <w:szCs w:val="21"/>
          <w:highlight w:val="none"/>
          <w:u w:val="single"/>
        </w:rPr>
        <w:t>具有国家测绘行政主管部门颁发的有效期内的乙级及以上测绘资质证书。</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）拟派项目负责人为投标人正式人员（须提供拟派项目负责人与</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签订的有效劳动合同复印件）。</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（5）具有独立订立合同及履行合同的能力；</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（6）未处于被责令停业、投标资格被取消或者财产被接管、冻结和破产状态；</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（7）企业没有因骗取中标或者严重违约以及发生重大工程质量、安全生产事故等问题，被有关部门暂停投标资格并在暂停期内的，且企业无违纪行为和不良记录的；</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（8）企业的资质类别、等级和项目负责人应具备的资格条件满足要求；</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（9）单位负责人为同一人或者存在直接控股、管理关系的不同</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，不得参加同一合同项下的采购活动。</w:t>
      </w:r>
    </w:p>
    <w:p>
      <w:pPr>
        <w:spacing w:line="360" w:lineRule="auto"/>
        <w:ind w:firstLine="422" w:firstLineChars="200"/>
        <w:rPr>
          <w:rFonts w:ascii="宋体" w:hAnsi="宋体" w:cs="宋体"/>
          <w:color w:val="auto"/>
          <w:kern w:val="0"/>
          <w:szCs w:val="21"/>
          <w:highlight w:val="none"/>
        </w:rPr>
      </w:pPr>
      <w:r>
        <w:rPr>
          <w:rFonts w:hint="eastAsia" w:ascii="宋体" w:hAnsi="宋体" w:cs="宋体"/>
          <w:b/>
          <w:color w:val="auto"/>
          <w:kern w:val="0"/>
          <w:szCs w:val="21"/>
          <w:highlight w:val="none"/>
        </w:rPr>
        <w:t>2.2</w:t>
      </w:r>
      <w:r>
        <w:rPr>
          <w:rFonts w:hint="eastAsia" w:ascii="宋体" w:hAnsi="宋体" w:cs="宋体"/>
          <w:color w:val="auto"/>
          <w:kern w:val="0"/>
          <w:szCs w:val="21"/>
          <w:highlight w:val="none"/>
        </w:rPr>
        <w:t>本项目不接受联合体投标。</w:t>
      </w:r>
    </w:p>
    <w:p>
      <w:pPr>
        <w:spacing w:line="360" w:lineRule="auto"/>
        <w:ind w:firstLine="420"/>
        <w:rPr>
          <w:rFonts w:ascii="宋体" w:hAnsi="宋体" w:cs="宋体"/>
          <w:b/>
          <w:color w:val="auto"/>
          <w:kern w:val="0"/>
          <w:szCs w:val="21"/>
          <w:highlight w:val="none"/>
        </w:rPr>
      </w:pPr>
      <w:r>
        <w:rPr>
          <w:rFonts w:hint="eastAsia" w:ascii="宋体" w:hAnsi="宋体" w:cs="宋体"/>
          <w:b/>
          <w:color w:val="auto"/>
          <w:kern w:val="0"/>
          <w:szCs w:val="21"/>
          <w:highlight w:val="none"/>
        </w:rPr>
        <w:t>具体资格审查条件以本项目招标文件“第三章评标办法”中的“资格审查标准汇总表”为准。</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3、投标费用</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3.1</w:t>
      </w:r>
      <w:r>
        <w:rPr>
          <w:rFonts w:hint="eastAsia" w:ascii="宋体" w:hAnsi="宋体" w:cs="宋体"/>
          <w:color w:val="auto"/>
          <w:szCs w:val="21"/>
          <w:highlight w:val="none"/>
        </w:rPr>
        <w:t>投标人应承担其编制投标文件以及递交投标文件所涉及的一切费用。无论投标、评标结果如何，招标人对上述费用不负任何责任。</w:t>
      </w:r>
    </w:p>
    <w:p>
      <w:pPr>
        <w:spacing w:line="360" w:lineRule="auto"/>
        <w:ind w:firstLine="420" w:firstLineChars="200"/>
        <w:rPr>
          <w:rFonts w:hint="default" w:ascii="宋体" w:hAnsi="宋体" w:cs="宋体"/>
          <w:b/>
          <w:bCs/>
          <w:color w:val="auto"/>
          <w:szCs w:val="21"/>
          <w:highlight w:val="none"/>
          <w:lang w:val="en-US" w:eastAsia="zh-CN"/>
        </w:rPr>
      </w:pPr>
      <w:r>
        <w:rPr>
          <w:rFonts w:hint="eastAsia" w:ascii="宋体" w:hAnsi="宋体" w:cs="宋体"/>
          <w:color w:val="auto"/>
          <w:szCs w:val="21"/>
          <w:highlight w:val="none"/>
          <w:lang w:val="en-US" w:eastAsia="zh-CN"/>
        </w:rPr>
        <w:t>3.2</w:t>
      </w:r>
      <w:r>
        <w:rPr>
          <w:rFonts w:hint="eastAsia" w:ascii="宋体" w:hAnsi="宋体" w:cs="宋体"/>
          <w:b/>
          <w:bCs/>
          <w:color w:val="auto"/>
          <w:szCs w:val="21"/>
          <w:highlight w:val="none"/>
          <w:lang w:val="en-US" w:eastAsia="zh-CN"/>
        </w:rPr>
        <w:t>本项目招标文件资料费用300元，在递交投标文件时递交给招标代理单位。无论是否中标，该费用不予退还。</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4、踏勘现场</w:t>
      </w:r>
    </w:p>
    <w:p>
      <w:pPr>
        <w:spacing w:line="360" w:lineRule="auto"/>
        <w:ind w:firstLine="422" w:firstLineChars="200"/>
        <w:rPr>
          <w:rFonts w:ascii="宋体" w:hAnsi="宋体" w:cs="宋体"/>
          <w:color w:val="auto"/>
          <w:kern w:val="0"/>
          <w:szCs w:val="21"/>
          <w:highlight w:val="none"/>
        </w:rPr>
      </w:pPr>
      <w:r>
        <w:rPr>
          <w:rFonts w:hint="eastAsia" w:ascii="宋体" w:hAnsi="宋体" w:cs="宋体"/>
          <w:b/>
          <w:color w:val="auto"/>
          <w:kern w:val="0"/>
          <w:szCs w:val="21"/>
          <w:highlight w:val="none"/>
        </w:rPr>
        <w:t>4.1</w:t>
      </w:r>
      <w:r>
        <w:rPr>
          <w:rFonts w:hint="eastAsia" w:ascii="宋体" w:hAnsi="宋体" w:cs="宋体"/>
          <w:color w:val="auto"/>
          <w:kern w:val="0"/>
          <w:szCs w:val="21"/>
          <w:highlight w:val="none"/>
        </w:rPr>
        <w:t>投标人将按本须知前附表所述时间，自行对工程现场及周围环境进行踏勘，以便投标人获取有关编制投标文件和签署合同所涉及现场的资料。投标人承担踏勘现场发生的自身费用。</w:t>
      </w:r>
    </w:p>
    <w:p>
      <w:pPr>
        <w:spacing w:line="360" w:lineRule="auto"/>
        <w:ind w:firstLine="422" w:firstLineChars="200"/>
        <w:rPr>
          <w:rFonts w:ascii="宋体" w:hAnsi="宋体" w:cs="宋体"/>
          <w:color w:val="auto"/>
          <w:kern w:val="0"/>
          <w:szCs w:val="21"/>
          <w:highlight w:val="none"/>
        </w:rPr>
      </w:pPr>
      <w:r>
        <w:rPr>
          <w:rFonts w:hint="eastAsia" w:ascii="宋体" w:hAnsi="宋体" w:cs="宋体"/>
          <w:b/>
          <w:color w:val="auto"/>
          <w:kern w:val="0"/>
          <w:szCs w:val="21"/>
          <w:highlight w:val="none"/>
        </w:rPr>
        <w:t>4.2</w:t>
      </w:r>
      <w:r>
        <w:rPr>
          <w:rFonts w:hint="eastAsia" w:ascii="宋体" w:hAnsi="宋体" w:cs="宋体"/>
          <w:color w:val="auto"/>
          <w:kern w:val="0"/>
          <w:szCs w:val="21"/>
          <w:highlight w:val="none"/>
        </w:rPr>
        <w:t>招标人向投标人提供的有关现场的数据和资料，是招标人现有的能被投标人利用的资料，招标人对投标人作出的任何推论、理解和结论均不负责任。</w:t>
      </w:r>
    </w:p>
    <w:p>
      <w:pPr>
        <w:spacing w:line="360" w:lineRule="auto"/>
        <w:ind w:firstLine="422" w:firstLineChars="200"/>
        <w:rPr>
          <w:rFonts w:ascii="宋体" w:hAnsi="宋体" w:cs="宋体"/>
          <w:color w:val="auto"/>
          <w:kern w:val="0"/>
          <w:szCs w:val="21"/>
          <w:highlight w:val="none"/>
        </w:rPr>
      </w:pPr>
      <w:r>
        <w:rPr>
          <w:rFonts w:hint="eastAsia" w:ascii="宋体" w:hAnsi="宋体" w:cs="宋体"/>
          <w:b/>
          <w:color w:val="auto"/>
          <w:kern w:val="0"/>
          <w:szCs w:val="21"/>
          <w:highlight w:val="none"/>
        </w:rPr>
        <w:t>4.3</w:t>
      </w:r>
      <w:r>
        <w:rPr>
          <w:rFonts w:hint="eastAsia" w:ascii="宋体" w:hAnsi="宋体" w:cs="宋体"/>
          <w:color w:val="auto"/>
          <w:kern w:val="0"/>
          <w:szCs w:val="21"/>
          <w:highlight w:val="none"/>
        </w:rPr>
        <w:t>经招标人允许，投标人可为踏勘目的进入招标人的项目现场，但投标人不得因此使招标人承担有关的责任和蒙受损失，投标人应承担踏勘现场的责任和风险。</w:t>
      </w:r>
    </w:p>
    <w:p>
      <w:pPr>
        <w:spacing w:line="360" w:lineRule="auto"/>
        <w:ind w:firstLine="422" w:firstLineChars="200"/>
        <w:rPr>
          <w:rFonts w:ascii="宋体" w:hAnsi="宋体" w:cs="宋体"/>
          <w:color w:val="auto"/>
          <w:kern w:val="0"/>
          <w:szCs w:val="21"/>
          <w:highlight w:val="none"/>
        </w:rPr>
      </w:pPr>
      <w:r>
        <w:rPr>
          <w:rFonts w:hint="eastAsia" w:ascii="宋体" w:hAnsi="宋体" w:cs="宋体"/>
          <w:b/>
          <w:color w:val="auto"/>
          <w:kern w:val="0"/>
          <w:szCs w:val="21"/>
          <w:highlight w:val="none"/>
        </w:rPr>
        <w:t>4.4</w:t>
      </w:r>
      <w:r>
        <w:rPr>
          <w:rFonts w:hint="eastAsia" w:ascii="宋体" w:hAnsi="宋体" w:cs="宋体"/>
          <w:color w:val="auto"/>
          <w:kern w:val="0"/>
          <w:szCs w:val="21"/>
          <w:highlight w:val="none"/>
        </w:rPr>
        <w:t>投标人应充分考虑投标文件制作过程中的数据变化因素，检查确认标书内容的正确完整和对招标文件的响应程度。</w:t>
      </w:r>
    </w:p>
    <w:p>
      <w:pPr>
        <w:keepNext/>
        <w:keepLines/>
        <w:spacing w:line="360" w:lineRule="auto"/>
        <w:jc w:val="center"/>
        <w:outlineLvl w:val="1"/>
        <w:rPr>
          <w:rFonts w:ascii="宋体" w:hAnsi="宋体" w:cs="宋体"/>
          <w:b/>
          <w:color w:val="auto"/>
          <w:sz w:val="28"/>
          <w:szCs w:val="28"/>
          <w:highlight w:val="none"/>
        </w:rPr>
      </w:pPr>
      <w:r>
        <w:rPr>
          <w:rFonts w:hint="eastAsia" w:ascii="宋体" w:hAnsi="宋体" w:cs="宋体"/>
          <w:b/>
          <w:color w:val="auto"/>
          <w:sz w:val="28"/>
          <w:szCs w:val="28"/>
          <w:highlight w:val="none"/>
        </w:rPr>
        <w:t>（二）招标文件</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5、招标文件的组成</w:t>
      </w:r>
    </w:p>
    <w:p>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5.1本招标文件包括下列内容：</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第一章招标公告</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第二章投标人须知</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第三章评标办法</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第四章合同条款</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第五章项目需求</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第六章投标文件格式</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除上述内容外，招标人发出对招标文件的澄清或修改内容，均为招标文件的组成部分，对招标人和投标人起约束作用。</w:t>
      </w:r>
    </w:p>
    <w:p>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5.2招标文件的澄清</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5.2.1 投标人应仔细阅读和检查招标文件的全部内容，投标人如有疑问，应在投标人须知前附表规定的时间，通过电子邮件形式提交（邮箱：1072027277@qq.com），并通知招标代理，要求招标人对招标文件予以澄清。</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投标人不在澄清期限内提出，招标人有权不予答复。</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5.2.2 招标文件的澄清将在</w:t>
      </w:r>
      <w:r>
        <w:rPr>
          <w:rFonts w:hint="eastAsia" w:ascii="宋体" w:hAnsi="宋体" w:cs="宋体"/>
          <w:b/>
          <w:bCs/>
          <w:color w:val="auto"/>
          <w:szCs w:val="21"/>
          <w:highlight w:val="none"/>
          <w:u w:val="single"/>
        </w:rPr>
        <w:t>2023年</w:t>
      </w:r>
      <w:r>
        <w:rPr>
          <w:rFonts w:hint="eastAsia" w:ascii="宋体" w:hAnsi="宋体" w:cs="宋体"/>
          <w:b/>
          <w:bCs/>
          <w:color w:val="auto"/>
          <w:szCs w:val="21"/>
          <w:highlight w:val="none"/>
          <w:u w:val="single"/>
          <w:lang w:val="en-US" w:eastAsia="zh-CN"/>
        </w:rPr>
        <w:t>9</w:t>
      </w:r>
      <w:r>
        <w:rPr>
          <w:rFonts w:hint="eastAsia" w:ascii="宋体" w:hAnsi="宋体" w:cs="宋体"/>
          <w:b/>
          <w:bCs/>
          <w:color w:val="auto"/>
          <w:szCs w:val="21"/>
          <w:highlight w:val="none"/>
          <w:u w:val="single"/>
        </w:rPr>
        <w:t>月</w:t>
      </w:r>
      <w:r>
        <w:rPr>
          <w:rFonts w:hint="eastAsia" w:ascii="宋体" w:hAnsi="宋体" w:cs="宋体"/>
          <w:b/>
          <w:bCs/>
          <w:color w:val="auto"/>
          <w:szCs w:val="21"/>
          <w:highlight w:val="none"/>
          <w:u w:val="single"/>
          <w:lang w:val="en-US" w:eastAsia="zh-CN"/>
        </w:rPr>
        <w:t>8</w:t>
      </w:r>
      <w:r>
        <w:rPr>
          <w:rFonts w:hint="eastAsia" w:ascii="宋体" w:hAnsi="宋体" w:cs="宋体"/>
          <w:b/>
          <w:bCs/>
          <w:color w:val="auto"/>
          <w:szCs w:val="21"/>
          <w:highlight w:val="none"/>
          <w:u w:val="single"/>
        </w:rPr>
        <w:t>日17时00分后</w:t>
      </w:r>
      <w:r>
        <w:rPr>
          <w:rFonts w:hint="eastAsia" w:ascii="宋体" w:hAnsi="宋体" w:cs="宋体"/>
          <w:color w:val="auto"/>
          <w:szCs w:val="21"/>
          <w:highlight w:val="none"/>
        </w:rPr>
        <w:t>通过“</w:t>
      </w:r>
      <w:r>
        <w:rPr>
          <w:rFonts w:hint="eastAsia" w:ascii="宋体" w:hAnsi="宋体" w:cs="宋体"/>
          <w:color w:val="auto"/>
          <w:szCs w:val="21"/>
          <w:highlight w:val="none"/>
          <w:lang w:eastAsia="zh-CN"/>
        </w:rPr>
        <w:t>南通市中央创新区建设投资有限公司网站</w:t>
      </w:r>
      <w:r>
        <w:rPr>
          <w:rFonts w:hint="eastAsia" w:ascii="宋体" w:hAnsi="宋体" w:cs="宋体"/>
          <w:color w:val="auto"/>
          <w:szCs w:val="21"/>
          <w:highlight w:val="none"/>
        </w:rPr>
        <w:t>”发布公示给所有投标人，但招标人不指明澄清问题的来源，招标人不再另行通知。</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5.2.3澄清文件按本章规定发出之时起，视为投标人已收到该澄清文件。投标人未及时通过“</w:t>
      </w:r>
      <w:r>
        <w:rPr>
          <w:rFonts w:hint="eastAsia" w:ascii="宋体" w:hAnsi="宋体" w:cs="宋体"/>
          <w:color w:val="auto"/>
          <w:szCs w:val="21"/>
          <w:highlight w:val="none"/>
          <w:lang w:eastAsia="zh-CN"/>
        </w:rPr>
        <w:t>南通市中央创新区建设投资有限公司网站</w:t>
      </w:r>
      <w:r>
        <w:rPr>
          <w:rFonts w:hint="eastAsia" w:ascii="宋体" w:hAnsi="宋体" w:cs="宋体"/>
          <w:color w:val="auto"/>
          <w:szCs w:val="21"/>
          <w:highlight w:val="none"/>
        </w:rPr>
        <w:t>”查阅招标文件的澄清，或未按照澄清后的招标文件编制投标文件，由此造成的后果由投标人自行承担。</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6、招标文件的修改</w:t>
      </w:r>
    </w:p>
    <w:p>
      <w:pPr>
        <w:spacing w:line="360" w:lineRule="auto"/>
        <w:ind w:firstLine="422" w:firstLineChars="200"/>
        <w:rPr>
          <w:rFonts w:ascii="宋体" w:hAnsi="宋体" w:cs="宋体"/>
          <w:color w:val="auto"/>
          <w:szCs w:val="21"/>
          <w:highlight w:val="none"/>
        </w:rPr>
      </w:pPr>
      <w:r>
        <w:rPr>
          <w:rFonts w:hint="eastAsia" w:ascii="宋体" w:hAnsi="宋体" w:cs="宋体"/>
          <w:b/>
          <w:color w:val="auto"/>
          <w:szCs w:val="21"/>
          <w:highlight w:val="none"/>
        </w:rPr>
        <w:t>6.1</w:t>
      </w:r>
      <w:r>
        <w:rPr>
          <w:rFonts w:hint="eastAsia" w:ascii="宋体" w:hAnsi="宋体" w:cs="宋体"/>
          <w:color w:val="auto"/>
          <w:szCs w:val="21"/>
          <w:highlight w:val="none"/>
        </w:rPr>
        <w:t>招标人可能会以补充通知的方式修改招标文件，补充通知将作为招标文件的组成部分，具有与招标文件同等效力。</w:t>
      </w:r>
    </w:p>
    <w:p>
      <w:pPr>
        <w:spacing w:line="360" w:lineRule="auto"/>
        <w:ind w:firstLine="422" w:firstLineChars="200"/>
        <w:rPr>
          <w:rFonts w:ascii="宋体" w:hAnsi="宋体" w:cs="宋体"/>
          <w:color w:val="auto"/>
          <w:szCs w:val="21"/>
          <w:highlight w:val="none"/>
        </w:rPr>
      </w:pPr>
      <w:r>
        <w:rPr>
          <w:rFonts w:hint="eastAsia" w:ascii="宋体" w:hAnsi="宋体" w:cs="宋体"/>
          <w:b/>
          <w:color w:val="auto"/>
          <w:szCs w:val="21"/>
          <w:highlight w:val="none"/>
        </w:rPr>
        <w:t>6.2</w:t>
      </w:r>
      <w:r>
        <w:rPr>
          <w:rFonts w:hint="eastAsia" w:ascii="宋体" w:hAnsi="宋体" w:cs="宋体"/>
          <w:color w:val="auto"/>
          <w:szCs w:val="21"/>
          <w:highlight w:val="none"/>
        </w:rPr>
        <w:t>当招标文件、招标文件的澄清、修改、补充等在同一内容的表述上不一致时，以最后的补充答疑为准。</w:t>
      </w:r>
    </w:p>
    <w:p>
      <w:pPr>
        <w:spacing w:line="360" w:lineRule="auto"/>
        <w:ind w:firstLine="422" w:firstLineChars="200"/>
        <w:rPr>
          <w:rFonts w:ascii="宋体" w:hAnsi="宋体" w:cs="宋体"/>
          <w:color w:val="auto"/>
          <w:szCs w:val="21"/>
          <w:highlight w:val="none"/>
        </w:rPr>
      </w:pPr>
      <w:r>
        <w:rPr>
          <w:rFonts w:hint="eastAsia" w:ascii="宋体" w:hAnsi="宋体" w:cs="宋体"/>
          <w:b/>
          <w:color w:val="auto"/>
          <w:szCs w:val="21"/>
          <w:highlight w:val="none"/>
        </w:rPr>
        <w:t>6.3</w:t>
      </w:r>
      <w:r>
        <w:rPr>
          <w:rFonts w:hint="eastAsia" w:ascii="宋体" w:hAnsi="宋体" w:cs="宋体"/>
          <w:color w:val="auto"/>
          <w:szCs w:val="21"/>
          <w:highlight w:val="none"/>
        </w:rPr>
        <w:t>为使投标人在编制投标文件时将补充通知考虑进去，招标人可以延长投标截止时间（延长时间在补充通知中写明）。</w:t>
      </w:r>
    </w:p>
    <w:p>
      <w:pPr>
        <w:keepNext/>
        <w:keepLines/>
        <w:spacing w:line="360" w:lineRule="auto"/>
        <w:jc w:val="center"/>
        <w:outlineLvl w:val="1"/>
        <w:rPr>
          <w:rFonts w:ascii="宋体" w:hAnsi="宋体" w:cs="宋体"/>
          <w:b/>
          <w:color w:val="auto"/>
          <w:sz w:val="28"/>
          <w:szCs w:val="28"/>
          <w:highlight w:val="none"/>
        </w:rPr>
      </w:pPr>
      <w:r>
        <w:rPr>
          <w:rFonts w:hint="eastAsia" w:ascii="宋体" w:hAnsi="宋体" w:cs="宋体"/>
          <w:b/>
          <w:color w:val="auto"/>
          <w:sz w:val="28"/>
          <w:szCs w:val="28"/>
          <w:highlight w:val="none"/>
        </w:rPr>
        <w:t>（三）投标文件组成</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7、投标文件组成</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投标文件由</w:t>
      </w:r>
      <w:r>
        <w:rPr>
          <w:rFonts w:hint="eastAsia" w:ascii="宋体" w:hAnsi="宋体" w:cs="宋体"/>
          <w:b/>
          <w:bCs/>
          <w:color w:val="auto"/>
          <w:szCs w:val="21"/>
          <w:highlight w:val="none"/>
          <w:u w:val="single"/>
        </w:rPr>
        <w:t>资格审查文件、商务标</w:t>
      </w:r>
      <w:r>
        <w:rPr>
          <w:rFonts w:hint="eastAsia" w:ascii="宋体" w:hAnsi="宋体" w:cs="宋体"/>
          <w:color w:val="auto"/>
          <w:szCs w:val="21"/>
          <w:highlight w:val="none"/>
          <w:lang w:val="en-US" w:eastAsia="zh-CN"/>
        </w:rPr>
        <w:t>二</w:t>
      </w:r>
      <w:r>
        <w:rPr>
          <w:rFonts w:hint="eastAsia" w:ascii="宋体" w:hAnsi="宋体" w:cs="宋体"/>
          <w:color w:val="auto"/>
          <w:szCs w:val="21"/>
          <w:highlight w:val="none"/>
        </w:rPr>
        <w:t>部分组成，具体包含内容如下：</w:t>
      </w:r>
    </w:p>
    <w:p>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7.1资格审查文件</w:t>
      </w:r>
      <w:r>
        <w:rPr>
          <w:rFonts w:hint="eastAsia" w:ascii="宋体" w:hAnsi="宋体" w:cs="宋体"/>
          <w:b/>
          <w:bCs/>
          <w:color w:val="auto"/>
          <w:szCs w:val="21"/>
          <w:highlight w:val="none"/>
        </w:rPr>
        <w:t>包括内容：</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（1）法定代表人身份证明书原件；（格式见第六章）</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（2）授权委托书原件（如有）；（格式见第六章）</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（3）有效的企业营业执照复印件；</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（4）有效的企业资质证书复印件；</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）拟派项目负责人为投标人正式人员证明材料；</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）诚信承诺书原件；（格式见第六章）</w:t>
      </w:r>
    </w:p>
    <w:p>
      <w:pPr>
        <w:spacing w:line="360" w:lineRule="auto"/>
        <w:ind w:firstLine="422" w:firstLineChars="200"/>
        <w:rPr>
          <w:rFonts w:ascii="宋体" w:hAnsi="宋体" w:cs="宋体"/>
          <w:bCs/>
          <w:color w:val="auto"/>
          <w:szCs w:val="21"/>
          <w:highlight w:val="none"/>
        </w:rPr>
      </w:pPr>
      <w:r>
        <w:rPr>
          <w:rFonts w:hint="eastAsia" w:ascii="宋体" w:hAnsi="宋体" w:cs="宋体"/>
          <w:b/>
          <w:bCs/>
          <w:color w:val="auto"/>
          <w:szCs w:val="21"/>
          <w:highlight w:val="none"/>
        </w:rPr>
        <w:t>具体详见本招标文件《第三章　评标办法》中的资格符合性评审标准表</w:t>
      </w:r>
      <w:r>
        <w:rPr>
          <w:rFonts w:hint="eastAsia" w:ascii="宋体" w:hAnsi="宋体" w:cs="宋体"/>
          <w:bCs/>
          <w:color w:val="auto"/>
          <w:szCs w:val="21"/>
          <w:highlight w:val="none"/>
        </w:rPr>
        <w:t>。</w:t>
      </w:r>
    </w:p>
    <w:p>
      <w:pPr>
        <w:spacing w:line="360" w:lineRule="auto"/>
        <w:ind w:firstLine="422" w:firstLineChars="200"/>
        <w:rPr>
          <w:rFonts w:ascii="宋体" w:hAnsi="宋体" w:cs="宋体"/>
          <w:color w:val="auto"/>
          <w:szCs w:val="21"/>
          <w:highlight w:val="none"/>
        </w:rPr>
      </w:pPr>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2</w:t>
      </w:r>
      <w:r>
        <w:rPr>
          <w:rFonts w:hint="eastAsia" w:ascii="宋体" w:hAnsi="宋体" w:cs="宋体"/>
          <w:b/>
          <w:bCs/>
          <w:color w:val="auto"/>
          <w:szCs w:val="21"/>
          <w:highlight w:val="none"/>
        </w:rPr>
        <w:t>商务标文件包括：</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投标函；</w:t>
      </w:r>
    </w:p>
    <w:p>
      <w:pPr>
        <w:keepNext/>
        <w:keepLines/>
        <w:spacing w:line="360" w:lineRule="auto"/>
        <w:outlineLvl w:val="2"/>
        <w:rPr>
          <w:rFonts w:ascii="宋体" w:hAnsi="宋体" w:cs="宋体"/>
          <w:b/>
          <w:color w:val="auto"/>
          <w:szCs w:val="21"/>
          <w:highlight w:val="none"/>
        </w:rPr>
      </w:pPr>
      <w:r>
        <w:rPr>
          <w:rFonts w:hint="eastAsia" w:ascii="宋体" w:hAnsi="宋体" w:cs="宋体"/>
          <w:b/>
          <w:color w:val="auto"/>
          <w:szCs w:val="21"/>
          <w:highlight w:val="none"/>
        </w:rPr>
        <w:t>8、投标文件封装</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投标文件须用不能擦去的墨水书写或打印，其正、副本都应装订成册，其中</w:t>
      </w:r>
      <w:r>
        <w:rPr>
          <w:rFonts w:hint="eastAsia" w:ascii="宋体" w:hAnsi="宋体" w:cs="宋体"/>
          <w:b/>
          <w:bCs/>
          <w:color w:val="auto"/>
          <w:szCs w:val="21"/>
          <w:highlight w:val="none"/>
        </w:rPr>
        <w:t>“正本”壹份、“副本”叁份</w:t>
      </w:r>
      <w:r>
        <w:rPr>
          <w:rFonts w:hint="eastAsia" w:ascii="宋体" w:hAnsi="宋体" w:cs="宋体"/>
          <w:color w:val="auto"/>
          <w:szCs w:val="21"/>
          <w:highlight w:val="none"/>
        </w:rPr>
        <w:t>，并在封面上正确标明“正本”、“副本”字样。全套投标文件应无修改和行间插字。如有修改，须在修改处加盖投标人法定代表人的印鉴。</w:t>
      </w:r>
    </w:p>
    <w:p>
      <w:pPr>
        <w:keepNext/>
        <w:keepLines/>
        <w:tabs>
          <w:tab w:val="center" w:pos="4610"/>
          <w:tab w:val="left" w:pos="6684"/>
        </w:tabs>
        <w:spacing w:line="360" w:lineRule="auto"/>
        <w:jc w:val="center"/>
        <w:outlineLvl w:val="1"/>
        <w:rPr>
          <w:rFonts w:ascii="宋体" w:hAnsi="宋体" w:cs="宋体"/>
          <w:b/>
          <w:color w:val="auto"/>
          <w:sz w:val="28"/>
          <w:szCs w:val="28"/>
          <w:highlight w:val="none"/>
        </w:rPr>
      </w:pPr>
      <w:r>
        <w:rPr>
          <w:rFonts w:hint="eastAsia" w:ascii="宋体" w:hAnsi="宋体" w:cs="宋体"/>
          <w:b/>
          <w:color w:val="auto"/>
          <w:sz w:val="28"/>
          <w:szCs w:val="28"/>
          <w:highlight w:val="none"/>
        </w:rPr>
        <w:t>（四）投标文件相关内容</w:t>
      </w:r>
    </w:p>
    <w:p>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9、投标报价</w:t>
      </w:r>
    </w:p>
    <w:p>
      <w:pPr>
        <w:spacing w:line="360" w:lineRule="auto"/>
        <w:ind w:firstLine="422" w:firstLineChars="200"/>
        <w:rPr>
          <w:rFonts w:ascii="宋体" w:hAnsi="宋体" w:cs="宋体"/>
          <w:b/>
          <w:color w:val="auto"/>
          <w:szCs w:val="21"/>
          <w:highlight w:val="none"/>
        </w:rPr>
      </w:pPr>
      <w:r>
        <w:rPr>
          <w:rFonts w:hint="eastAsia" w:ascii="宋体" w:hAnsi="宋体" w:cs="宋体"/>
          <w:b/>
          <w:bCs/>
          <w:color w:val="auto"/>
          <w:szCs w:val="21"/>
          <w:highlight w:val="none"/>
        </w:rPr>
        <w:t>9.1报价方式：</w:t>
      </w:r>
      <w:r>
        <w:rPr>
          <w:rFonts w:hint="eastAsia" w:ascii="宋体" w:hAnsi="宋体" w:cs="宋体"/>
          <w:color w:val="auto"/>
          <w:szCs w:val="21"/>
          <w:highlight w:val="none"/>
        </w:rPr>
        <w:t>本项目采用固定综合单价报价方式。投标</w:t>
      </w:r>
      <w:r>
        <w:rPr>
          <w:rFonts w:hint="eastAsia" w:ascii="宋体" w:hAnsi="宋体" w:cs="宋体"/>
          <w:color w:val="auto"/>
          <w:szCs w:val="21"/>
          <w:highlight w:val="none"/>
          <w:lang w:val="en-US" w:eastAsia="zh-CN"/>
        </w:rPr>
        <w:t>报价</w:t>
      </w:r>
      <w:r>
        <w:rPr>
          <w:rFonts w:hint="eastAsia" w:ascii="宋体" w:hAnsi="宋体" w:cs="宋体"/>
          <w:color w:val="auto"/>
          <w:szCs w:val="21"/>
          <w:highlight w:val="none"/>
        </w:rPr>
        <w:t>是包含完成本次招标范围内所有内容的费用，</w:t>
      </w:r>
      <w:r>
        <w:rPr>
          <w:rFonts w:hint="eastAsia" w:ascii="宋体" w:hAnsi="宋体" w:cs="宋体"/>
          <w:color w:val="auto"/>
          <w:szCs w:val="21"/>
          <w:highlight w:val="none"/>
          <w:lang w:val="en-US" w:eastAsia="zh-CN"/>
        </w:rPr>
        <w:t>投标人</w:t>
      </w:r>
      <w:r>
        <w:rPr>
          <w:rFonts w:hint="eastAsia" w:ascii="宋体" w:hAnsi="宋体" w:cs="宋体"/>
          <w:color w:val="auto"/>
          <w:szCs w:val="21"/>
          <w:highlight w:val="none"/>
        </w:rPr>
        <w:t>的报价应包括人员经费、办公材料、交通运输、</w:t>
      </w:r>
      <w:r>
        <w:rPr>
          <w:rFonts w:hint="eastAsia" w:ascii="宋体" w:hAnsi="宋体" w:cs="宋体"/>
          <w:color w:val="auto"/>
          <w:szCs w:val="21"/>
          <w:highlight w:val="none"/>
          <w:lang w:val="en-US" w:eastAsia="zh-CN"/>
        </w:rPr>
        <w:t>材料费、</w:t>
      </w:r>
      <w:r>
        <w:rPr>
          <w:rFonts w:hint="eastAsia" w:ascii="宋体" w:hAnsi="宋体" w:cs="宋体"/>
          <w:color w:val="auto"/>
          <w:szCs w:val="21"/>
          <w:highlight w:val="none"/>
        </w:rPr>
        <w:t>设备使用、保险、人员培训、检验、税金等一切与本项目相关费用，</w:t>
      </w:r>
      <w:r>
        <w:rPr>
          <w:rFonts w:hint="eastAsia" w:ascii="宋体" w:hAnsi="宋体" w:cs="宋体"/>
          <w:color w:val="auto"/>
          <w:szCs w:val="21"/>
          <w:highlight w:val="none"/>
          <w:lang w:val="en-US" w:eastAsia="zh-CN"/>
        </w:rPr>
        <w:t>中标价</w:t>
      </w:r>
      <w:r>
        <w:rPr>
          <w:rFonts w:hint="eastAsia" w:ascii="宋体" w:hAnsi="宋体" w:cs="宋体"/>
          <w:color w:val="auto"/>
          <w:szCs w:val="21"/>
          <w:highlight w:val="none"/>
        </w:rPr>
        <w:t>之外</w:t>
      </w:r>
      <w:r>
        <w:rPr>
          <w:rFonts w:hint="eastAsia" w:ascii="宋体" w:hAnsi="宋体" w:cs="宋体"/>
          <w:color w:val="auto"/>
          <w:szCs w:val="21"/>
          <w:highlight w:val="none"/>
          <w:lang w:val="en-US" w:eastAsia="zh-CN"/>
        </w:rPr>
        <w:t>招标人</w:t>
      </w:r>
      <w:r>
        <w:rPr>
          <w:rFonts w:hint="eastAsia" w:ascii="宋体" w:hAnsi="宋体" w:cs="宋体"/>
          <w:color w:val="auto"/>
          <w:szCs w:val="21"/>
          <w:highlight w:val="none"/>
        </w:rPr>
        <w:t>不再支付任何费用。</w:t>
      </w:r>
      <w:r>
        <w:rPr>
          <w:rFonts w:hint="eastAsia" w:ascii="宋体" w:hAnsi="宋体" w:cs="宋体"/>
          <w:b/>
          <w:color w:val="auto"/>
          <w:szCs w:val="21"/>
          <w:highlight w:val="none"/>
        </w:rPr>
        <w:t>无论何种原因，项目实施过程中，中标单价不作调整。</w:t>
      </w:r>
    </w:p>
    <w:p>
      <w:pPr>
        <w:spacing w:line="360" w:lineRule="auto"/>
        <w:ind w:firstLine="555"/>
        <w:rPr>
          <w:rFonts w:ascii="宋体" w:hAnsi="宋体" w:cs="宋体"/>
          <w:color w:val="auto"/>
          <w:szCs w:val="21"/>
          <w:highlight w:val="none"/>
        </w:rPr>
      </w:pPr>
      <w:r>
        <w:rPr>
          <w:rFonts w:hint="eastAsia" w:ascii="宋体" w:hAnsi="宋体" w:cs="宋体"/>
          <w:b/>
          <w:bCs/>
          <w:color w:val="auto"/>
          <w:szCs w:val="21"/>
          <w:highlight w:val="none"/>
        </w:rPr>
        <w:t>9.2</w:t>
      </w:r>
      <w:bookmarkStart w:id="68" w:name="_Hlk51919786"/>
      <w:r>
        <w:rPr>
          <w:rFonts w:hint="eastAsia" w:ascii="宋体" w:hAnsi="宋体" w:cs="宋体"/>
          <w:b/>
          <w:bCs/>
          <w:color w:val="auto"/>
          <w:szCs w:val="21"/>
          <w:highlight w:val="none"/>
        </w:rPr>
        <w:t>本项目</w:t>
      </w:r>
      <w:r>
        <w:rPr>
          <w:rFonts w:hint="eastAsia" w:ascii="宋体" w:hAnsi="宋体" w:cs="宋体"/>
          <w:b/>
          <w:bCs/>
          <w:color w:val="auto"/>
          <w:szCs w:val="21"/>
          <w:highlight w:val="none"/>
          <w:lang w:val="en-US" w:eastAsia="zh-CN"/>
        </w:rPr>
        <w:t>最高</w:t>
      </w:r>
      <w:r>
        <w:rPr>
          <w:rFonts w:hint="eastAsia" w:ascii="宋体" w:hAnsi="宋体" w:cs="宋体"/>
          <w:b/>
          <w:bCs/>
          <w:color w:val="auto"/>
          <w:szCs w:val="21"/>
          <w:highlight w:val="none"/>
        </w:rPr>
        <w:t>限价</w:t>
      </w:r>
      <w:r>
        <w:rPr>
          <w:rFonts w:hint="eastAsia" w:ascii="宋体" w:hAnsi="宋体" w:cs="宋体"/>
          <w:b/>
          <w:bCs/>
          <w:color w:val="auto"/>
          <w:szCs w:val="21"/>
          <w:highlight w:val="none"/>
          <w:lang w:val="en-US" w:eastAsia="zh-CN"/>
        </w:rPr>
        <w:t>10</w:t>
      </w:r>
      <w:r>
        <w:rPr>
          <w:rFonts w:hint="eastAsia" w:ascii="宋体" w:hAnsi="宋体" w:cs="宋体"/>
          <w:b/>
          <w:bCs/>
          <w:color w:val="auto"/>
          <w:szCs w:val="21"/>
          <w:highlight w:val="none"/>
        </w:rPr>
        <w:t>万元。</w:t>
      </w:r>
      <w:r>
        <w:rPr>
          <w:rFonts w:hint="eastAsia" w:ascii="宋体" w:hAnsi="宋体" w:cs="宋体"/>
          <w:b/>
          <w:bCs/>
          <w:color w:val="auto"/>
          <w:szCs w:val="21"/>
          <w:highlight w:val="none"/>
          <w:lang w:val="en-US" w:eastAsia="zh-CN"/>
        </w:rPr>
        <w:t>道路照明管线长度</w:t>
      </w:r>
      <w:r>
        <w:rPr>
          <w:rFonts w:hint="eastAsia" w:ascii="宋体" w:hAnsi="宋体" w:cs="宋体"/>
          <w:b/>
          <w:bCs/>
          <w:color w:val="auto"/>
          <w:szCs w:val="21"/>
          <w:highlight w:val="none"/>
        </w:rPr>
        <w:t>暂估</w:t>
      </w:r>
      <w:r>
        <w:rPr>
          <w:rFonts w:hint="eastAsia" w:ascii="宋体" w:hAnsi="宋体" w:cs="宋体"/>
          <w:b/>
          <w:bCs/>
          <w:color w:val="auto"/>
          <w:szCs w:val="21"/>
          <w:highlight w:val="none"/>
          <w:lang w:val="en-US" w:eastAsia="zh-CN"/>
        </w:rPr>
        <w:t>50</w:t>
      </w:r>
      <w:r>
        <w:rPr>
          <w:rFonts w:hint="eastAsia" w:ascii="宋体" w:hAnsi="宋体" w:cs="宋体"/>
          <w:b/>
          <w:bCs/>
          <w:color w:val="auto"/>
          <w:szCs w:val="21"/>
          <w:highlight w:val="none"/>
        </w:rPr>
        <w:t>km，最终</w:t>
      </w:r>
      <w:r>
        <w:rPr>
          <w:rFonts w:hint="eastAsia" w:ascii="宋体" w:hAnsi="宋体" w:cs="宋体"/>
          <w:b/>
          <w:bCs/>
          <w:color w:val="auto"/>
          <w:szCs w:val="21"/>
          <w:highlight w:val="none"/>
          <w:lang w:val="en-US" w:eastAsia="zh-CN"/>
        </w:rPr>
        <w:t>以投标人的中标单价乘以实际工程量，</w:t>
      </w:r>
      <w:r>
        <w:rPr>
          <w:rFonts w:hint="eastAsia" w:ascii="宋体" w:hAnsi="宋体" w:cs="宋体"/>
          <w:b/>
          <w:bCs/>
          <w:color w:val="auto"/>
          <w:szCs w:val="21"/>
          <w:highlight w:val="none"/>
        </w:rPr>
        <w:t>按实核算，</w:t>
      </w:r>
      <w:r>
        <w:rPr>
          <w:rFonts w:hint="eastAsia" w:ascii="宋体" w:hAnsi="宋体" w:cs="宋体"/>
          <w:b/>
          <w:bCs/>
          <w:color w:val="auto"/>
          <w:szCs w:val="21"/>
          <w:highlight w:val="none"/>
          <w:lang w:val="en-US" w:eastAsia="zh-CN"/>
        </w:rPr>
        <w:t>并</w:t>
      </w:r>
      <w:r>
        <w:rPr>
          <w:rFonts w:hint="eastAsia" w:ascii="宋体" w:hAnsi="宋体" w:cs="宋体"/>
          <w:b/>
          <w:bCs/>
          <w:color w:val="auto"/>
          <w:szCs w:val="21"/>
          <w:highlight w:val="none"/>
        </w:rPr>
        <w:t>以审计结果为准。</w:t>
      </w:r>
    </w:p>
    <w:bookmarkEnd w:id="68"/>
    <w:p>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1</w:t>
      </w:r>
      <w:r>
        <w:rPr>
          <w:rFonts w:hint="eastAsia" w:ascii="宋体" w:hAnsi="宋体" w:cs="宋体"/>
          <w:b/>
          <w:color w:val="auto"/>
          <w:szCs w:val="21"/>
          <w:highlight w:val="none"/>
          <w:lang w:val="en-US" w:eastAsia="zh-CN"/>
        </w:rPr>
        <w:t>0</w:t>
      </w:r>
      <w:r>
        <w:rPr>
          <w:rFonts w:hint="eastAsia" w:ascii="宋体" w:hAnsi="宋体" w:cs="宋体"/>
          <w:b/>
          <w:color w:val="auto"/>
          <w:szCs w:val="21"/>
          <w:highlight w:val="none"/>
        </w:rPr>
        <w:t>、投标文件的编制</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.1投标人应按招标文件规定的要求进行编写，如有需要，可以增加附页，作为投标文件的组成部分。</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.2投标文件应当对招标文件有关工期、投标有效期、质量要求、技术标准和要求、招标范围等实质性内容作出响应。</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3投标文件须用不能擦去的墨水书写或打印，其正、副本都应装订成册，并在封面上正确标明“正本”、“副本”字样，当副本和正本不一致时，以正本为准。全套投标文件应无修改和行间插字。如有修改，须在修改处加盖投标人法定代表人的签字或加盖印鉴。</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.4投标文件的正本与副本应分别装订成册，并编制目录和连续页码。</w:t>
      </w:r>
    </w:p>
    <w:p>
      <w:pPr>
        <w:keepNext/>
        <w:keepLines/>
        <w:spacing w:line="360" w:lineRule="auto"/>
        <w:jc w:val="center"/>
        <w:outlineLvl w:val="1"/>
        <w:rPr>
          <w:rFonts w:ascii="宋体" w:hAnsi="宋体" w:cs="宋体"/>
          <w:b/>
          <w:color w:val="auto"/>
          <w:sz w:val="28"/>
          <w:szCs w:val="28"/>
          <w:highlight w:val="none"/>
        </w:rPr>
      </w:pPr>
      <w:r>
        <w:rPr>
          <w:rFonts w:hint="eastAsia" w:ascii="宋体" w:hAnsi="宋体" w:cs="宋体"/>
          <w:b/>
          <w:color w:val="auto"/>
          <w:sz w:val="28"/>
          <w:szCs w:val="28"/>
          <w:highlight w:val="none"/>
        </w:rPr>
        <w:t>（五）投标文件密封和递交</w:t>
      </w:r>
    </w:p>
    <w:p>
      <w:pPr>
        <w:spacing w:line="360" w:lineRule="auto"/>
        <w:ind w:firstLine="310" w:firstLineChars="147"/>
        <w:rPr>
          <w:rFonts w:ascii="宋体" w:hAnsi="宋体" w:cs="宋体"/>
          <w:b/>
          <w:color w:val="auto"/>
          <w:szCs w:val="21"/>
          <w:highlight w:val="none"/>
        </w:rPr>
      </w:pPr>
      <w:r>
        <w:rPr>
          <w:rFonts w:hint="eastAsia" w:ascii="宋体" w:hAnsi="宋体" w:cs="宋体"/>
          <w:b/>
          <w:color w:val="auto"/>
          <w:szCs w:val="21"/>
          <w:highlight w:val="none"/>
        </w:rPr>
        <w:t xml:space="preserve"> 1</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rPr>
        <w:t>投标文件的密封与标记</w:t>
      </w:r>
    </w:p>
    <w:p>
      <w:pPr>
        <w:spacing w:line="360" w:lineRule="auto"/>
        <w:ind w:firstLine="411" w:firstLineChars="196"/>
        <w:rPr>
          <w:rFonts w:ascii="宋体" w:hAnsi="宋体" w:cs="宋体"/>
          <w:b/>
          <w:bCs/>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w:t>
      </w:r>
      <w:r>
        <w:rPr>
          <w:rFonts w:hint="eastAsia" w:ascii="宋体" w:hAnsi="宋体" w:cs="宋体"/>
          <w:bCs/>
          <w:color w:val="auto"/>
          <w:szCs w:val="21"/>
          <w:highlight w:val="none"/>
        </w:rPr>
        <w:t>投标文件由</w:t>
      </w:r>
      <w:r>
        <w:rPr>
          <w:rFonts w:hint="eastAsia" w:ascii="宋体" w:hAnsi="宋体" w:cs="宋体"/>
          <w:b/>
          <w:bCs/>
          <w:color w:val="auto"/>
          <w:szCs w:val="21"/>
          <w:highlight w:val="none"/>
          <w:u w:val="single"/>
        </w:rPr>
        <w:t>资格审查文件、商务标</w:t>
      </w:r>
      <w:r>
        <w:rPr>
          <w:rFonts w:hint="eastAsia" w:ascii="宋体" w:hAnsi="宋体" w:cs="宋体"/>
          <w:bCs/>
          <w:color w:val="auto"/>
          <w:szCs w:val="21"/>
          <w:highlight w:val="none"/>
          <w:lang w:val="en-US" w:eastAsia="zh-CN"/>
        </w:rPr>
        <w:t>二</w:t>
      </w:r>
      <w:r>
        <w:rPr>
          <w:rFonts w:hint="eastAsia" w:ascii="宋体" w:hAnsi="宋体" w:cs="宋体"/>
          <w:bCs/>
          <w:color w:val="auto"/>
          <w:szCs w:val="21"/>
          <w:highlight w:val="none"/>
        </w:rPr>
        <w:t>部分组成。</w:t>
      </w:r>
      <w:r>
        <w:rPr>
          <w:rFonts w:hint="eastAsia" w:ascii="宋体" w:hAnsi="宋体" w:cs="宋体"/>
          <w:b/>
          <w:bCs/>
          <w:color w:val="auto"/>
          <w:szCs w:val="21"/>
          <w:highlight w:val="none"/>
        </w:rPr>
        <w:t>投标人可将投标文件正副本统一密封于一个密封袋。如正本和副本分别密封的，应在封袋上标明正、副本字样。</w:t>
      </w:r>
    </w:p>
    <w:p>
      <w:pPr>
        <w:spacing w:line="360" w:lineRule="auto"/>
        <w:ind w:firstLine="411" w:firstLineChars="196"/>
        <w:rPr>
          <w:rFonts w:ascii="宋体" w:hAnsi="宋体" w:cs="宋体"/>
          <w:b/>
          <w:bCs/>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.2</w:t>
      </w:r>
      <w:r>
        <w:rPr>
          <w:rFonts w:hint="eastAsia" w:ascii="宋体" w:hAnsi="宋体" w:cs="宋体"/>
          <w:b/>
          <w:bCs/>
          <w:color w:val="auto"/>
          <w:szCs w:val="21"/>
          <w:highlight w:val="none"/>
          <w:u w:val="single"/>
        </w:rPr>
        <w:t>资格审查文件、商务标</w:t>
      </w:r>
      <w:r>
        <w:rPr>
          <w:rFonts w:hint="eastAsia" w:ascii="宋体" w:hAnsi="宋体" w:cs="宋体"/>
          <w:bCs/>
          <w:color w:val="auto"/>
          <w:szCs w:val="21"/>
          <w:highlight w:val="none"/>
          <w:lang w:val="en-US" w:eastAsia="zh-CN"/>
        </w:rPr>
        <w:t>二</w:t>
      </w:r>
      <w:r>
        <w:rPr>
          <w:rFonts w:hint="eastAsia" w:ascii="宋体" w:hAnsi="宋体" w:cs="宋体"/>
          <w:b/>
          <w:bCs/>
          <w:color w:val="auto"/>
          <w:szCs w:val="21"/>
          <w:highlight w:val="none"/>
        </w:rPr>
        <w:t>部分，必须分袋密封，并在封袋上加盖投标人单位公章和单位法定代表人章，另须在封袋上标明“资格审查文件”、“商务标”，同时还要写明工程名称、投标人名称。</w:t>
      </w:r>
    </w:p>
    <w:p>
      <w:pPr>
        <w:spacing w:line="360" w:lineRule="auto"/>
        <w:ind w:firstLine="411" w:firstLineChars="196"/>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val="en-US" w:eastAsia="zh-CN"/>
        </w:rPr>
        <w:t>1</w:t>
      </w:r>
      <w:r>
        <w:rPr>
          <w:rFonts w:hint="eastAsia" w:ascii="宋体" w:hAnsi="宋体" w:cs="宋体"/>
          <w:bCs/>
          <w:color w:val="auto"/>
          <w:szCs w:val="21"/>
          <w:highlight w:val="none"/>
        </w:rPr>
        <w:t>.3所有投标文件的密封袋封口处均应加盖投标人公章。投标人未按上述规定提交投标文件，其投标文件将被拒绝，并退还给投标人。</w:t>
      </w:r>
    </w:p>
    <w:p>
      <w:pPr>
        <w:spacing w:line="360" w:lineRule="auto"/>
        <w:ind w:firstLine="411" w:firstLineChars="196"/>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val="en-US" w:eastAsia="zh-CN"/>
        </w:rPr>
        <w:t>1</w:t>
      </w:r>
      <w:r>
        <w:rPr>
          <w:rFonts w:hint="eastAsia" w:ascii="宋体" w:hAnsi="宋体" w:cs="宋体"/>
          <w:bCs/>
          <w:color w:val="auto"/>
          <w:szCs w:val="21"/>
          <w:highlight w:val="none"/>
        </w:rPr>
        <w:t>.4投标文件正、副本不一致时，以正本为准。</w:t>
      </w:r>
    </w:p>
    <w:p>
      <w:pPr>
        <w:spacing w:line="360" w:lineRule="auto"/>
        <w:ind w:firstLine="411" w:firstLineChars="196"/>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val="en-US" w:eastAsia="zh-CN"/>
        </w:rPr>
        <w:t>1</w:t>
      </w:r>
      <w:r>
        <w:rPr>
          <w:rFonts w:hint="eastAsia" w:ascii="宋体" w:hAnsi="宋体" w:cs="宋体"/>
          <w:bCs/>
          <w:color w:val="auto"/>
          <w:szCs w:val="21"/>
          <w:highlight w:val="none"/>
        </w:rPr>
        <w:t>.5无论中标与否，投标文件均不退还。</w:t>
      </w:r>
    </w:p>
    <w:p>
      <w:pPr>
        <w:spacing w:line="360" w:lineRule="auto"/>
        <w:ind w:firstLine="413" w:firstLineChars="196"/>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、投标文件的递交</w:t>
      </w:r>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1</w:t>
      </w: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、投标文件的修改和撤回</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投标截止时间之前，投标人可对所递交的投标文件进行修改或撤回，但所递交的修改或撤回通知必须按招标文件的规定进行编制、密封、标志和递交。投标截止时间之后，投标人不得修改或撤回投标文件。</w:t>
      </w:r>
    </w:p>
    <w:p>
      <w:pPr>
        <w:keepNext/>
        <w:keepLines/>
        <w:spacing w:line="360" w:lineRule="auto"/>
        <w:jc w:val="center"/>
        <w:outlineLvl w:val="1"/>
        <w:rPr>
          <w:rFonts w:ascii="宋体" w:hAnsi="宋体" w:cs="宋体"/>
          <w:b/>
          <w:color w:val="auto"/>
          <w:sz w:val="28"/>
          <w:szCs w:val="28"/>
          <w:highlight w:val="none"/>
        </w:rPr>
      </w:pPr>
      <w:r>
        <w:rPr>
          <w:rFonts w:hint="eastAsia" w:ascii="宋体" w:hAnsi="宋体" w:cs="宋体"/>
          <w:b/>
          <w:color w:val="auto"/>
          <w:sz w:val="28"/>
          <w:szCs w:val="28"/>
          <w:highlight w:val="none"/>
        </w:rPr>
        <w:t>（六）开标、评标和定标</w:t>
      </w:r>
    </w:p>
    <w:p>
      <w:pPr>
        <w:spacing w:line="360" w:lineRule="auto"/>
        <w:ind w:firstLine="422" w:firstLineChars="200"/>
        <w:rPr>
          <w:rFonts w:ascii="宋体" w:hAnsi="宋体" w:cs="宋体"/>
          <w:color w:val="auto"/>
          <w:szCs w:val="21"/>
          <w:highlight w:val="none"/>
        </w:rPr>
      </w:pPr>
      <w:r>
        <w:rPr>
          <w:rFonts w:hint="eastAsia" w:ascii="宋体" w:hAnsi="宋体" w:cs="宋体"/>
          <w:b/>
          <w:color w:val="auto"/>
          <w:szCs w:val="21"/>
          <w:highlight w:val="none"/>
        </w:rPr>
        <w:t>1</w:t>
      </w:r>
      <w:r>
        <w:rPr>
          <w:rFonts w:hint="eastAsia" w:ascii="宋体" w:hAnsi="宋体" w:cs="宋体"/>
          <w:b/>
          <w:color w:val="auto"/>
          <w:szCs w:val="21"/>
          <w:highlight w:val="none"/>
          <w:lang w:val="en-US" w:eastAsia="zh-CN"/>
        </w:rPr>
        <w:t>4</w:t>
      </w:r>
      <w:r>
        <w:rPr>
          <w:rFonts w:hint="eastAsia" w:ascii="宋体" w:hAnsi="宋体" w:cs="宋体"/>
          <w:b/>
          <w:color w:val="auto"/>
          <w:szCs w:val="21"/>
          <w:highlight w:val="none"/>
        </w:rPr>
        <w:t>、开标</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.1招标人按“投标须知前附表”第</w:t>
      </w:r>
      <w:r>
        <w:rPr>
          <w:rFonts w:hint="eastAsia" w:ascii="宋体" w:hAnsi="宋体" w:cs="宋体"/>
          <w:color w:val="auto"/>
          <w:szCs w:val="21"/>
          <w:highlight w:val="none"/>
          <w:lang w:val="en-US" w:eastAsia="zh-CN"/>
        </w:rPr>
        <w:t>18</w:t>
      </w:r>
      <w:r>
        <w:rPr>
          <w:rFonts w:hint="eastAsia" w:ascii="宋体" w:hAnsi="宋体" w:cs="宋体"/>
          <w:color w:val="auto"/>
          <w:szCs w:val="21"/>
          <w:highlight w:val="none"/>
        </w:rPr>
        <w:t>项所规定的时间、地点公开开标，并邀请所有投标人的法定代表人或其委托代理人准时参加。</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开标时，由招标人委托的监督机构或投标人代表检查投标文件的密封情况，经确认无误后，由工作人员当众拆封；由投标人代表宣读投标人名称其他招标人认为有必要的内容。投标文件未按照招标文件的要求予以密封的，将作为无效投标文件，退回投标人。</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.3招标人在招标文件要求提交投标文件的截止时间前收到的所有投标文件，开标时都将当众予以拆封、宣读、记录。</w:t>
      </w:r>
    </w:p>
    <w:p>
      <w:pPr>
        <w:spacing w:line="360" w:lineRule="auto"/>
        <w:ind w:firstLine="420" w:firstLineChars="200"/>
        <w:rPr>
          <w:rFonts w:ascii="宋体" w:hAnsi="宋体" w:cs="宋体"/>
          <w:b/>
          <w:bCs/>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.4</w:t>
      </w:r>
      <w:r>
        <w:rPr>
          <w:rFonts w:hint="eastAsia" w:ascii="宋体" w:hAnsi="宋体" w:cs="宋体"/>
          <w:b/>
          <w:bCs/>
          <w:color w:val="auto"/>
          <w:spacing w:val="-2"/>
          <w:szCs w:val="21"/>
          <w:highlight w:val="none"/>
        </w:rPr>
        <w:t>在开标时，投标文件出现下列情况之一的，将作为无效投标文件，不得进入评标：</w:t>
      </w:r>
    </w:p>
    <w:p>
      <w:pPr>
        <w:tabs>
          <w:tab w:val="left" w:pos="1140"/>
        </w:tabs>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（1）投标文件未按照招标文件的要求予以密封和标志的；</w:t>
      </w:r>
    </w:p>
    <w:p>
      <w:pPr>
        <w:tabs>
          <w:tab w:val="left" w:pos="1080"/>
        </w:tabs>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（2）投标文件中的投标函未加盖投标人的企业及企业法定代表人印章的，或者法人委托代理人没有合法、有效的委托书（原件）及委托代理人印章的；</w:t>
      </w:r>
    </w:p>
    <w:p>
      <w:pPr>
        <w:tabs>
          <w:tab w:val="left" w:pos="1080"/>
        </w:tabs>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（3）投标文件的关键内容字迹模糊、无法辨认的；</w:t>
      </w:r>
    </w:p>
    <w:p>
      <w:pPr>
        <w:tabs>
          <w:tab w:val="left" w:pos="1080"/>
        </w:tabs>
        <w:spacing w:line="360" w:lineRule="auto"/>
        <w:ind w:firstLine="422" w:firstLineChars="200"/>
        <w:rPr>
          <w:rFonts w:ascii="宋体" w:hAnsi="宋体" w:cs="宋体"/>
          <w:color w:val="auto"/>
          <w:szCs w:val="21"/>
          <w:highlight w:val="none"/>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）投标文件附有招标人不能接受的条件。</w:t>
      </w:r>
    </w:p>
    <w:p>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1</w:t>
      </w:r>
      <w:r>
        <w:rPr>
          <w:rFonts w:hint="eastAsia" w:ascii="宋体" w:hAnsi="宋体" w:cs="宋体"/>
          <w:b/>
          <w:color w:val="auto"/>
          <w:szCs w:val="21"/>
          <w:highlight w:val="none"/>
          <w:lang w:val="en-US" w:eastAsia="zh-CN"/>
        </w:rPr>
        <w:t>5</w:t>
      </w:r>
      <w:r>
        <w:rPr>
          <w:rFonts w:hint="eastAsia" w:ascii="宋体" w:hAnsi="宋体" w:cs="宋体"/>
          <w:b/>
          <w:color w:val="auto"/>
          <w:szCs w:val="21"/>
          <w:highlight w:val="none"/>
        </w:rPr>
        <w:t>、评标</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.1评标工作</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评标工作由招标人依法组建的评标委员会组织进行。</w:t>
      </w:r>
    </w:p>
    <w:p>
      <w:pPr>
        <w:spacing w:line="360" w:lineRule="auto"/>
        <w:ind w:firstLine="420" w:firstLineChars="200"/>
        <w:rPr>
          <w:rFonts w:ascii="宋体" w:hAnsi="宋体" w:cs="宋体"/>
          <w:b/>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.2</w:t>
      </w:r>
      <w:r>
        <w:rPr>
          <w:rFonts w:hint="eastAsia" w:ascii="宋体" w:hAnsi="宋体" w:cs="宋体"/>
          <w:bCs/>
          <w:color w:val="auto"/>
          <w:szCs w:val="21"/>
          <w:highlight w:val="none"/>
        </w:rPr>
        <w:t>评标原则</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评标活动遵循公平、公正、科学和择优的原则。</w:t>
      </w:r>
    </w:p>
    <w:p>
      <w:pPr>
        <w:spacing w:line="360" w:lineRule="auto"/>
        <w:ind w:firstLine="417" w:firstLineChars="199"/>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.3评标办法</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本项目采用</w:t>
      </w:r>
      <w:r>
        <w:rPr>
          <w:rFonts w:hint="eastAsia" w:ascii="宋体" w:hAnsi="宋体" w:cs="宋体"/>
          <w:b/>
          <w:bCs/>
          <w:color w:val="auto"/>
          <w:szCs w:val="21"/>
          <w:highlight w:val="none"/>
          <w:lang w:val="en-US" w:eastAsia="zh-CN"/>
        </w:rPr>
        <w:t>价格单因素</w:t>
      </w:r>
      <w:r>
        <w:rPr>
          <w:rFonts w:hint="eastAsia" w:ascii="宋体" w:hAnsi="宋体" w:cs="宋体"/>
          <w:color w:val="auto"/>
          <w:szCs w:val="21"/>
          <w:highlight w:val="none"/>
        </w:rPr>
        <w:t>，详见评标办法。</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、投标文件的澄清</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1为了有助于投标文件的审查、评价和比较，评标委员会可以书面方式要求投标人对投标文件中含义不明确、对同类问题表述不一致或者有明显文字和计算错误的内容作必要的澄清、说明或者补正。投标人的澄清、说明或者补正应以书面方式进行并不得超出投标文件的范围或者改变投标文件的实质性内容。</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2投标文件中的大写金额和小写金额不一致的，以大写金额为准；总价金额与单价金额不一致的，以单价金额为准，但单价金额小数点有明显错误的除外；对不同文字文本投标文件的解释发生异议的，以中文文本为准。</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、在评标过程中，评标委员会若发现投标人以他人的名义投标、串通投标、以行贿手段谋取中标或者以其他弄虚作假方式投标的，该投标人的投标将作废标处理。</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w:t>
      </w:r>
      <w:r>
        <w:rPr>
          <w:rFonts w:hint="eastAsia" w:ascii="宋体" w:hAnsi="宋体" w:cs="宋体"/>
          <w:color w:val="auto"/>
          <w:spacing w:val="-4"/>
          <w:szCs w:val="21"/>
          <w:highlight w:val="none"/>
        </w:rPr>
        <w:t>投标人资格条件不符合国家有关规定和招标文件要求的，或者拒不按照要求对投标文件进行澄清、说明或者补正的，评标委员会可以否决其投标</w:t>
      </w:r>
      <w:r>
        <w:rPr>
          <w:rFonts w:hint="eastAsia" w:ascii="宋体" w:hAnsi="宋体" w:cs="宋体"/>
          <w:color w:val="auto"/>
          <w:szCs w:val="21"/>
          <w:highlight w:val="none"/>
        </w:rPr>
        <w:t>。</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19</w:t>
      </w:r>
      <w:r>
        <w:rPr>
          <w:rFonts w:hint="eastAsia" w:ascii="宋体" w:hAnsi="宋体" w:cs="宋体"/>
          <w:color w:val="auto"/>
          <w:szCs w:val="21"/>
          <w:highlight w:val="none"/>
        </w:rPr>
        <w:t>、</w:t>
      </w:r>
      <w:r>
        <w:rPr>
          <w:rFonts w:hint="eastAsia" w:ascii="宋体" w:hAnsi="宋体" w:cs="宋体"/>
          <w:color w:val="auto"/>
          <w:spacing w:val="-6"/>
          <w:szCs w:val="21"/>
          <w:highlight w:val="none"/>
        </w:rPr>
        <w:t>评标委员会将审查每一投标文件是否对招标文件提出的所有实质性要求和条件做出响应。未能在实质上响应招标文件的投标，将作废标处</w:t>
      </w:r>
      <w:r>
        <w:rPr>
          <w:rFonts w:hint="eastAsia" w:ascii="宋体" w:hAnsi="宋体" w:cs="宋体"/>
          <w:color w:val="auto"/>
          <w:szCs w:val="21"/>
          <w:highlight w:val="none"/>
        </w:rPr>
        <w:t>理。</w:t>
      </w:r>
    </w:p>
    <w:p>
      <w:pPr>
        <w:spacing w:line="360" w:lineRule="auto"/>
        <w:ind w:firstLine="420" w:firstLineChars="200"/>
        <w:rPr>
          <w:rFonts w:ascii="宋体" w:hAnsi="宋体" w:cs="宋体"/>
          <w:b/>
          <w:bCs/>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b/>
          <w:bCs/>
          <w:color w:val="auto"/>
          <w:szCs w:val="21"/>
          <w:highlight w:val="none"/>
        </w:rPr>
        <w:t>投标文件出现下列情况之一的，将作为无效投标文件处理，无效投标文件不予参与评标：</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（1）投标文件未按照招标文件的要求予以密封和标志的；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（2）投标文件未按要求加盖投标单位的企业和企业法定代表人（或委托代理人）印章（或签字）的；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（3）如投标文件加盖企业法定代表人委托代理人印章（或签字）的，企业法定代表人委托代理人没有合法、有效的委托书（原</w:t>
      </w:r>
      <w:bookmarkStart w:id="69" w:name="page21"/>
      <w:bookmarkEnd w:id="69"/>
      <w:r>
        <w:rPr>
          <w:rFonts w:hint="eastAsia" w:ascii="宋体" w:hAnsi="宋体" w:cs="宋体"/>
          <w:b/>
          <w:bCs/>
          <w:color w:val="auto"/>
          <w:szCs w:val="21"/>
          <w:highlight w:val="none"/>
        </w:rPr>
        <w:t>件）的；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（4）投标人资格条件不符合国家有关规定或招标文件要求的；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（5）投标人的投标报价</w:t>
      </w:r>
      <w:r>
        <w:rPr>
          <w:rFonts w:hint="eastAsia" w:ascii="宋体" w:hAnsi="宋体" w:cs="宋体"/>
          <w:b/>
          <w:bCs/>
          <w:color w:val="auto"/>
          <w:szCs w:val="21"/>
          <w:highlight w:val="none"/>
          <w:lang w:val="en-US" w:eastAsia="zh-CN"/>
        </w:rPr>
        <w:t>高于或等于对应</w:t>
      </w:r>
      <w:r>
        <w:rPr>
          <w:rFonts w:hint="eastAsia" w:ascii="宋体" w:hAnsi="宋体" w:cs="宋体"/>
          <w:b/>
          <w:bCs/>
          <w:color w:val="auto"/>
          <w:szCs w:val="21"/>
          <w:highlight w:val="none"/>
        </w:rPr>
        <w:t>最高限价的；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（6）同一投标人提交两个及以上不同的投标文件或者投标报价，但招标文件要求提交备选投标的除外；</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）投标文件载明的招标项目完成期限超过招标文件规定的期限的；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8</w:t>
      </w:r>
      <w:r>
        <w:rPr>
          <w:rFonts w:hint="eastAsia" w:ascii="宋体" w:hAnsi="宋体" w:cs="宋体"/>
          <w:b/>
          <w:bCs/>
          <w:color w:val="auto"/>
          <w:szCs w:val="21"/>
          <w:highlight w:val="none"/>
        </w:rPr>
        <w:t>）明显不符合技术规范、技术标准的要求的；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9</w:t>
      </w:r>
      <w:r>
        <w:rPr>
          <w:rFonts w:hint="eastAsia" w:ascii="宋体" w:hAnsi="宋体" w:cs="宋体"/>
          <w:b/>
          <w:bCs/>
          <w:color w:val="auto"/>
          <w:szCs w:val="21"/>
          <w:highlight w:val="none"/>
        </w:rPr>
        <w:t>）投标文件提出了不能满足招标文件要求或招标人不能接受的条件的；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w:t>
      </w:r>
      <w:r>
        <w:rPr>
          <w:rFonts w:hint="eastAsia" w:ascii="宋体" w:hAnsi="宋体" w:cs="宋体"/>
          <w:b/>
          <w:bCs/>
          <w:color w:val="auto"/>
          <w:szCs w:val="21"/>
          <w:highlight w:val="none"/>
          <w:lang w:val="en-US" w:eastAsia="zh-CN"/>
        </w:rPr>
        <w:t>0</w:t>
      </w:r>
      <w:r>
        <w:rPr>
          <w:rFonts w:hint="eastAsia" w:ascii="宋体" w:hAnsi="宋体" w:cs="宋体"/>
          <w:b/>
          <w:bCs/>
          <w:color w:val="auto"/>
          <w:szCs w:val="21"/>
          <w:highlight w:val="none"/>
        </w:rPr>
        <w:t>）不同投标人的投标文件以及投标文件制作过程出现了评标委员会认为不应当雷同的情况的；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w:t>
      </w:r>
      <w:r>
        <w:rPr>
          <w:rFonts w:hint="eastAsia" w:ascii="宋体" w:hAnsi="宋体" w:cs="宋体"/>
          <w:b/>
          <w:bCs/>
          <w:color w:val="auto"/>
          <w:szCs w:val="21"/>
          <w:highlight w:val="none"/>
          <w:lang w:val="en-US" w:eastAsia="zh-CN"/>
        </w:rPr>
        <w:t>1</w:t>
      </w:r>
      <w:r>
        <w:rPr>
          <w:rFonts w:hint="eastAsia" w:ascii="宋体" w:hAnsi="宋体" w:cs="宋体"/>
          <w:b/>
          <w:bCs/>
          <w:color w:val="auto"/>
          <w:szCs w:val="21"/>
          <w:highlight w:val="none"/>
        </w:rPr>
        <w:t>）以他人的名义投标、串通投标、以行贿手段谋取中标或</w:t>
      </w:r>
      <w:bookmarkStart w:id="70" w:name="page22"/>
      <w:bookmarkEnd w:id="70"/>
      <w:r>
        <w:rPr>
          <w:rFonts w:hint="eastAsia" w:ascii="宋体" w:hAnsi="宋体" w:cs="宋体"/>
          <w:b/>
          <w:bCs/>
          <w:color w:val="auto"/>
          <w:szCs w:val="21"/>
          <w:highlight w:val="none"/>
        </w:rPr>
        <w:t>者以其他弄虚作假方式投标的；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w:t>
      </w:r>
      <w:r>
        <w:rPr>
          <w:rFonts w:hint="eastAsia" w:ascii="宋体" w:hAnsi="宋体" w:cs="宋体"/>
          <w:b/>
          <w:bCs/>
          <w:color w:val="auto"/>
          <w:szCs w:val="21"/>
          <w:highlight w:val="none"/>
          <w:lang w:val="en-US" w:eastAsia="zh-CN"/>
        </w:rPr>
        <w:t>2</w:t>
      </w:r>
      <w:r>
        <w:rPr>
          <w:rFonts w:hint="eastAsia" w:ascii="宋体" w:hAnsi="宋体" w:cs="宋体"/>
          <w:b/>
          <w:bCs/>
          <w:color w:val="auto"/>
          <w:szCs w:val="21"/>
          <w:highlight w:val="none"/>
        </w:rPr>
        <w:t>）资格审查文件中出现投标报价的；</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）未按招标文件规定的格式填写，内容不全或关键字迹模糊、无法辨认的；</w:t>
      </w:r>
    </w:p>
    <w:p>
      <w:pPr>
        <w:spacing w:line="360" w:lineRule="auto"/>
        <w:ind w:firstLine="422" w:firstLineChars="200"/>
        <w:rPr>
          <w:rFonts w:ascii="宋体" w:hAnsi="宋体" w:cs="宋体"/>
          <w:color w:val="auto"/>
          <w:szCs w:val="21"/>
          <w:highlight w:val="none"/>
        </w:rPr>
      </w:pPr>
      <w:r>
        <w:rPr>
          <w:rFonts w:hint="eastAsia" w:ascii="宋体" w:hAnsi="宋体" w:cs="宋体"/>
          <w:b/>
          <w:bCs/>
          <w:color w:val="auto"/>
          <w:szCs w:val="21"/>
          <w:highlight w:val="none"/>
        </w:rPr>
        <w:t>（1</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）不符合招标文件中规定的其他实质性要求的。</w:t>
      </w:r>
    </w:p>
    <w:p>
      <w:pPr>
        <w:keepNext/>
        <w:keepLines/>
        <w:spacing w:line="360" w:lineRule="auto"/>
        <w:jc w:val="center"/>
        <w:outlineLvl w:val="1"/>
        <w:rPr>
          <w:rFonts w:ascii="宋体" w:hAnsi="宋体" w:cs="宋体"/>
          <w:b/>
          <w:color w:val="auto"/>
          <w:sz w:val="28"/>
          <w:szCs w:val="28"/>
          <w:highlight w:val="none"/>
        </w:rPr>
      </w:pPr>
      <w:r>
        <w:rPr>
          <w:rFonts w:hint="eastAsia" w:ascii="宋体" w:hAnsi="宋体" w:cs="宋体"/>
          <w:b/>
          <w:color w:val="auto"/>
          <w:sz w:val="28"/>
          <w:szCs w:val="28"/>
          <w:highlight w:val="none"/>
        </w:rPr>
        <w:t>（七）合同授予</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、中标</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.1确定中标人后，招标人向中标人发出中标通知书，并同时将中标结果通知所有未中标的投标人，中标通知书将成为合同的组成部分。</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.2中标人收到中标通知书后，应在30日内与招标人签订合同。中标人不与招标人订立合同的，并取消其中标资格，并且，给招标人造成的损失的，还应当予以赔偿。</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、合同签订</w:t>
      </w:r>
    </w:p>
    <w:p>
      <w:pPr>
        <w:spacing w:line="360" w:lineRule="auto"/>
        <w:ind w:firstLine="420" w:firstLineChars="200"/>
        <w:rPr>
          <w:rFonts w:ascii="宋体" w:hAnsi="宋体" w:cs="宋体"/>
          <w:b/>
          <w:color w:val="auto"/>
          <w:sz w:val="24"/>
          <w:highlight w:val="none"/>
        </w:rPr>
      </w:pPr>
      <w:r>
        <w:rPr>
          <w:rFonts w:hint="eastAsia" w:ascii="宋体" w:hAnsi="宋体" w:cs="宋体"/>
          <w:color w:val="auto"/>
          <w:szCs w:val="21"/>
          <w:highlight w:val="none"/>
        </w:rPr>
        <w:t>若中标人不能按时签订合同，招标人将有充分的理由视为中标人放弃中标项目的权利。该行为给招标人造成损失的，还应当予以赔偿。中标人放弃本项目的中标权利时，招标人有权依序从经评标委员会确定的中标候选人中，确定新的中标人。</w:t>
      </w:r>
    </w:p>
    <w:p>
      <w:pPr>
        <w:rPr>
          <w:rFonts w:ascii="Times New Roman" w:hAnsi="Times New Roman"/>
          <w:b/>
          <w:color w:val="auto"/>
          <w:sz w:val="36"/>
          <w:szCs w:val="36"/>
          <w:highlight w:val="none"/>
        </w:rPr>
      </w:pPr>
      <w:r>
        <w:rPr>
          <w:rFonts w:ascii="Times New Roman" w:hAnsi="Times New Roman"/>
          <w:b/>
          <w:color w:val="auto"/>
          <w:sz w:val="36"/>
          <w:szCs w:val="36"/>
          <w:highlight w:val="none"/>
        </w:rPr>
        <w:br w:type="page"/>
      </w:r>
    </w:p>
    <w:p>
      <w:pPr>
        <w:keepNext/>
        <w:keepLines/>
        <w:spacing w:before="120" w:after="120" w:line="360" w:lineRule="auto"/>
        <w:jc w:val="center"/>
        <w:outlineLvl w:val="0"/>
        <w:rPr>
          <w:rFonts w:ascii="Times New Roman" w:hAnsi="Times New Roman"/>
          <w:b/>
          <w:color w:val="auto"/>
          <w:sz w:val="36"/>
          <w:szCs w:val="36"/>
          <w:highlight w:val="none"/>
        </w:rPr>
      </w:pPr>
      <w:r>
        <w:rPr>
          <w:rFonts w:ascii="Times New Roman" w:hAnsi="Times New Roman"/>
          <w:b/>
          <w:color w:val="auto"/>
          <w:sz w:val="36"/>
          <w:szCs w:val="36"/>
          <w:highlight w:val="none"/>
        </w:rPr>
        <w:t>第三章评标办法（</w:t>
      </w:r>
      <w:r>
        <w:rPr>
          <w:rFonts w:hint="eastAsia" w:ascii="Times New Roman" w:hAnsi="Times New Roman"/>
          <w:b/>
          <w:color w:val="auto"/>
          <w:sz w:val="36"/>
          <w:szCs w:val="36"/>
          <w:highlight w:val="none"/>
          <w:lang w:val="en-US" w:eastAsia="zh-CN"/>
        </w:rPr>
        <w:t>价格单因素</w:t>
      </w:r>
      <w:r>
        <w:rPr>
          <w:rFonts w:ascii="Times New Roman" w:hAnsi="Times New Roman"/>
          <w:b/>
          <w:color w:val="auto"/>
          <w:sz w:val="36"/>
          <w:szCs w:val="36"/>
          <w:highlight w:val="none"/>
        </w:rPr>
        <w:t>）</w:t>
      </w:r>
    </w:p>
    <w:p>
      <w:pPr>
        <w:spacing w:line="460" w:lineRule="exact"/>
        <w:ind w:firstLine="422" w:firstLineChars="200"/>
        <w:rPr>
          <w:rFonts w:ascii="宋体" w:hAnsi="宋体" w:cs="宋体"/>
          <w:b/>
          <w:bCs/>
          <w:color w:val="auto"/>
          <w:kern w:val="0"/>
          <w:szCs w:val="21"/>
          <w:highlight w:val="none"/>
        </w:rPr>
      </w:pPr>
      <w:r>
        <w:rPr>
          <w:rFonts w:hint="eastAsia" w:ascii="宋体" w:hAnsi="宋体" w:cs="宋体"/>
          <w:b/>
          <w:bCs/>
          <w:color w:val="auto"/>
          <w:szCs w:val="21"/>
          <w:highlight w:val="none"/>
        </w:rPr>
        <w:t>一、本工程采用</w:t>
      </w:r>
      <w:r>
        <w:rPr>
          <w:rFonts w:hint="eastAsia" w:ascii="宋体" w:hAnsi="宋体" w:cs="宋体"/>
          <w:b/>
          <w:bCs/>
          <w:color w:val="auto"/>
          <w:szCs w:val="21"/>
          <w:highlight w:val="none"/>
          <w:lang w:val="en-US" w:eastAsia="zh-CN"/>
        </w:rPr>
        <w:t>价格单因素</w:t>
      </w:r>
      <w:r>
        <w:rPr>
          <w:rFonts w:hint="eastAsia" w:ascii="宋体" w:hAnsi="宋体" w:cs="宋体"/>
          <w:b/>
          <w:bCs/>
          <w:color w:val="auto"/>
          <w:szCs w:val="21"/>
          <w:highlight w:val="none"/>
        </w:rPr>
        <w:t>评分法</w:t>
      </w:r>
      <w:r>
        <w:rPr>
          <w:rFonts w:hint="eastAsia" w:ascii="宋体" w:hAnsi="宋体" w:cs="宋体"/>
          <w:b/>
          <w:bCs/>
          <w:color w:val="auto"/>
          <w:kern w:val="0"/>
          <w:szCs w:val="21"/>
          <w:highlight w:val="none"/>
        </w:rPr>
        <w:t>，且采用资格后审，具体资格审查及评标细则如下：</w:t>
      </w:r>
    </w:p>
    <w:p>
      <w:pPr>
        <w:widowControl/>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（一）评标程序</w:t>
      </w:r>
    </w:p>
    <w:p>
      <w:pPr>
        <w:widowControl/>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资格符合性评审→商务标评审→确定中标候选人。</w:t>
      </w:r>
    </w:p>
    <w:p>
      <w:pPr>
        <w:widowControl/>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（二）评审标准</w:t>
      </w:r>
    </w:p>
    <w:p>
      <w:pPr>
        <w:widowControl/>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评标委员会将按资格评审标准的合格条件，对各投标人递交的资格审查文件进行评审，并公布资格审查合格者名单。</w:t>
      </w:r>
    </w:p>
    <w:p>
      <w:pPr>
        <w:keepNext/>
        <w:keepLines/>
        <w:numPr>
          <w:ilvl w:val="0"/>
          <w:numId w:val="1"/>
        </w:numPr>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资格符合性评审</w:t>
      </w:r>
    </w:p>
    <w:p>
      <w:pPr>
        <w:widowControl/>
        <w:spacing w:line="460" w:lineRule="exact"/>
        <w:rPr>
          <w:rFonts w:ascii="宋体" w:hAnsi="宋体" w:cs="宋体"/>
          <w:color w:val="auto"/>
          <w:szCs w:val="21"/>
          <w:highlight w:val="none"/>
        </w:rPr>
      </w:pPr>
      <w:r>
        <w:rPr>
          <w:rFonts w:hint="eastAsia" w:ascii="宋体" w:hAnsi="宋体" w:cs="宋体"/>
          <w:color w:val="auto"/>
          <w:kern w:val="0"/>
          <w:szCs w:val="21"/>
          <w:highlight w:val="none"/>
        </w:rPr>
        <w:t>本次资格审查采用合格制，各投标人只有满足资格审查必要合格条件后，方可参与技术标与商务标的评审。</w:t>
      </w:r>
    </w:p>
    <w:p>
      <w:pPr>
        <w:widowControl/>
        <w:spacing w:line="460" w:lineRule="exact"/>
        <w:ind w:firstLine="420" w:firstLineChars="200"/>
        <w:jc w:val="center"/>
        <w:rPr>
          <w:rFonts w:ascii="宋体" w:hAnsi="宋体" w:cs="宋体"/>
          <w:color w:val="auto"/>
          <w:kern w:val="0"/>
          <w:szCs w:val="21"/>
          <w:highlight w:val="none"/>
        </w:rPr>
      </w:pPr>
      <w:r>
        <w:rPr>
          <w:rFonts w:hint="eastAsia" w:ascii="宋体" w:hAnsi="宋体" w:cs="宋体"/>
          <w:color w:val="auto"/>
          <w:kern w:val="0"/>
          <w:szCs w:val="21"/>
          <w:highlight w:val="none"/>
        </w:rPr>
        <w:t>资格符合性评审标准表</w:t>
      </w:r>
    </w:p>
    <w:tbl>
      <w:tblPr>
        <w:tblStyle w:val="15"/>
        <w:tblW w:w="9389"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 w:type="dxa"/>
          <w:bottom w:w="0" w:type="dxa"/>
          <w:right w:w="10" w:type="dxa"/>
        </w:tblCellMar>
      </w:tblPr>
      <w:tblGrid>
        <w:gridCol w:w="600"/>
        <w:gridCol w:w="2127"/>
        <w:gridCol w:w="3879"/>
        <w:gridCol w:w="278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373" w:hRule="atLeast"/>
          <w:tblHeader/>
          <w:jc w:val="center"/>
        </w:trPr>
        <w:tc>
          <w:tcPr>
            <w:tcW w:w="600"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lang w:val="zh-CN"/>
              </w:rPr>
              <w:t>序号</w:t>
            </w:r>
          </w:p>
        </w:tc>
        <w:tc>
          <w:tcPr>
            <w:tcW w:w="2127"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lang w:val="zh-CN"/>
              </w:rPr>
              <w:t>项目内容</w:t>
            </w:r>
          </w:p>
        </w:tc>
        <w:tc>
          <w:tcPr>
            <w:tcW w:w="3879" w:type="dxa"/>
            <w:vAlign w:val="center"/>
          </w:tcPr>
          <w:p>
            <w:pPr>
              <w:spacing w:line="300" w:lineRule="auto"/>
              <w:ind w:firstLine="480"/>
              <w:jc w:val="center"/>
              <w:rPr>
                <w:rFonts w:ascii="宋体" w:hAnsi="宋体" w:cs="宋体"/>
                <w:color w:val="auto"/>
                <w:szCs w:val="21"/>
                <w:highlight w:val="none"/>
              </w:rPr>
            </w:pPr>
            <w:r>
              <w:rPr>
                <w:rFonts w:hint="eastAsia" w:ascii="宋体" w:hAnsi="宋体" w:cs="宋体"/>
                <w:color w:val="auto"/>
                <w:szCs w:val="21"/>
                <w:highlight w:val="none"/>
                <w:lang w:val="zh-CN"/>
              </w:rPr>
              <w:t>合格条件</w:t>
            </w:r>
          </w:p>
        </w:tc>
        <w:tc>
          <w:tcPr>
            <w:tcW w:w="2783"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lang w:val="zh-CN"/>
              </w:rPr>
              <w:t>需提供的证明材料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755" w:hRule="atLeast"/>
          <w:jc w:val="center"/>
        </w:trPr>
        <w:tc>
          <w:tcPr>
            <w:tcW w:w="600"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1</w:t>
            </w:r>
          </w:p>
        </w:tc>
        <w:tc>
          <w:tcPr>
            <w:tcW w:w="2127"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法定代表人身份证明</w:t>
            </w:r>
          </w:p>
        </w:tc>
        <w:tc>
          <w:tcPr>
            <w:tcW w:w="3879"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有效的法定代表人身份证明书</w:t>
            </w:r>
          </w:p>
        </w:tc>
        <w:tc>
          <w:tcPr>
            <w:tcW w:w="2783"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lang w:val="zh-CN"/>
              </w:rPr>
              <w:t>法定代表人身份证明书</w:t>
            </w:r>
            <w:r>
              <w:rPr>
                <w:rFonts w:hint="eastAsia" w:ascii="宋体" w:hAnsi="宋体" w:cs="宋体"/>
                <w:color w:val="auto"/>
                <w:szCs w:val="21"/>
                <w:highlight w:val="none"/>
              </w:rPr>
              <w:t>原件</w:t>
            </w:r>
          </w:p>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（格式见第六章）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755" w:hRule="atLeast"/>
          <w:jc w:val="center"/>
        </w:trPr>
        <w:tc>
          <w:tcPr>
            <w:tcW w:w="600"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lang w:val="zh-CN"/>
              </w:rPr>
              <w:t>2</w:t>
            </w:r>
          </w:p>
        </w:tc>
        <w:tc>
          <w:tcPr>
            <w:tcW w:w="2127"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授权委托书（如有授权）</w:t>
            </w:r>
          </w:p>
        </w:tc>
        <w:tc>
          <w:tcPr>
            <w:tcW w:w="3879"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有效的授权委托书</w:t>
            </w:r>
          </w:p>
        </w:tc>
        <w:tc>
          <w:tcPr>
            <w:tcW w:w="2783" w:type="dxa"/>
            <w:vAlign w:val="center"/>
          </w:tcPr>
          <w:p>
            <w:pPr>
              <w:spacing w:line="300" w:lineRule="auto"/>
              <w:jc w:val="center"/>
              <w:rPr>
                <w:rFonts w:hint="eastAsia" w:ascii="宋体" w:hAnsi="宋体" w:cs="宋体"/>
                <w:color w:val="auto"/>
                <w:szCs w:val="21"/>
                <w:highlight w:val="none"/>
              </w:rPr>
            </w:pPr>
            <w:r>
              <w:rPr>
                <w:rFonts w:hint="eastAsia" w:ascii="宋体" w:hAnsi="宋体" w:cs="宋体"/>
                <w:color w:val="auto"/>
                <w:szCs w:val="21"/>
                <w:highlight w:val="none"/>
                <w:lang w:val="zh-CN"/>
              </w:rPr>
              <w:t>授权委托书</w:t>
            </w:r>
            <w:r>
              <w:rPr>
                <w:rFonts w:hint="eastAsia" w:ascii="宋体" w:hAnsi="宋体" w:cs="宋体"/>
                <w:color w:val="auto"/>
                <w:szCs w:val="21"/>
                <w:highlight w:val="none"/>
              </w:rPr>
              <w:t>原件</w:t>
            </w:r>
          </w:p>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（格式见第六章）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1000" w:hRule="atLeast"/>
          <w:jc w:val="center"/>
        </w:trPr>
        <w:tc>
          <w:tcPr>
            <w:tcW w:w="600"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rPr>
              <w:t>3</w:t>
            </w:r>
          </w:p>
        </w:tc>
        <w:tc>
          <w:tcPr>
            <w:tcW w:w="2127"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企业营业执照</w:t>
            </w:r>
          </w:p>
        </w:tc>
        <w:tc>
          <w:tcPr>
            <w:tcW w:w="3879"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工商行政管理部门颁发的营业执照</w:t>
            </w:r>
          </w:p>
        </w:tc>
        <w:tc>
          <w:tcPr>
            <w:tcW w:w="2783"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lang w:val="zh-CN"/>
              </w:rPr>
              <w:t>有效的企业营业执照</w:t>
            </w:r>
            <w:r>
              <w:rPr>
                <w:rFonts w:hint="eastAsia" w:ascii="宋体" w:hAnsi="宋体" w:cs="宋体"/>
                <w:color w:val="auto"/>
                <w:szCs w:val="21"/>
                <w:highlight w:val="none"/>
              </w:rPr>
              <w:t>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590" w:hRule="atLeast"/>
          <w:jc w:val="center"/>
        </w:trPr>
        <w:tc>
          <w:tcPr>
            <w:tcW w:w="600"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rPr>
              <w:t>4</w:t>
            </w:r>
          </w:p>
        </w:tc>
        <w:tc>
          <w:tcPr>
            <w:tcW w:w="2127"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企业资质证书</w:t>
            </w:r>
          </w:p>
        </w:tc>
        <w:tc>
          <w:tcPr>
            <w:tcW w:w="3879"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具有国家测绘行政主管部门颁发的有效期内的乙级及以上测绘资质证书</w:t>
            </w:r>
          </w:p>
        </w:tc>
        <w:tc>
          <w:tcPr>
            <w:tcW w:w="2783" w:type="dxa"/>
            <w:vAlign w:val="center"/>
          </w:tcPr>
          <w:p>
            <w:pPr>
              <w:spacing w:line="30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有效的资质证书复印件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418" w:hRule="atLeast"/>
          <w:jc w:val="center"/>
        </w:trPr>
        <w:tc>
          <w:tcPr>
            <w:tcW w:w="600" w:type="dxa"/>
            <w:vAlign w:val="center"/>
          </w:tcPr>
          <w:p>
            <w:pPr>
              <w:spacing w:line="30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2127" w:type="dxa"/>
            <w:vAlign w:val="center"/>
          </w:tcPr>
          <w:p>
            <w:pPr>
              <w:spacing w:line="300" w:lineRule="auto"/>
              <w:jc w:val="center"/>
              <w:rPr>
                <w:rFonts w:ascii="宋体" w:hAnsi="宋体" w:cs="宋体"/>
                <w:color w:val="auto"/>
                <w:szCs w:val="21"/>
                <w:highlight w:val="none"/>
              </w:rPr>
            </w:pPr>
            <w:r>
              <w:rPr>
                <w:rFonts w:hint="eastAsia" w:ascii="宋体" w:hAnsi="宋体" w:cs="宋体"/>
                <w:color w:val="auto"/>
                <w:szCs w:val="21"/>
                <w:highlight w:val="none"/>
              </w:rPr>
              <w:t>拟派项目负责人为投标人正式人员</w:t>
            </w:r>
          </w:p>
        </w:tc>
        <w:tc>
          <w:tcPr>
            <w:tcW w:w="3879"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rPr>
              <w:t>拟派项目负责人为投标人正式人员证明材料【须提供拟派项目负责人与</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签订的有效劳动合同】</w:t>
            </w:r>
          </w:p>
        </w:tc>
        <w:tc>
          <w:tcPr>
            <w:tcW w:w="2783" w:type="dxa"/>
            <w:vAlign w:val="center"/>
          </w:tcPr>
          <w:p>
            <w:pPr>
              <w:spacing w:line="30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有效的</w:t>
            </w:r>
            <w:r>
              <w:rPr>
                <w:rFonts w:hint="eastAsia" w:ascii="宋体" w:hAnsi="宋体" w:cs="宋体"/>
                <w:color w:val="auto"/>
                <w:szCs w:val="21"/>
                <w:highlight w:val="none"/>
                <w:lang w:val="en-US" w:eastAsia="zh-CN"/>
              </w:rPr>
              <w:t>劳动合同复印件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205" w:hRule="atLeast"/>
          <w:jc w:val="center"/>
        </w:trPr>
        <w:tc>
          <w:tcPr>
            <w:tcW w:w="600" w:type="dxa"/>
            <w:vAlign w:val="center"/>
          </w:tcPr>
          <w:p>
            <w:pPr>
              <w:spacing w:line="30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2127" w:type="dxa"/>
            <w:vAlign w:val="center"/>
          </w:tcPr>
          <w:p>
            <w:pPr>
              <w:spacing w:line="300" w:lineRule="auto"/>
              <w:jc w:val="center"/>
              <w:rPr>
                <w:rFonts w:ascii="宋体" w:hAnsi="宋体" w:cs="宋体"/>
                <w:color w:val="auto"/>
                <w:szCs w:val="21"/>
                <w:highlight w:val="none"/>
                <w:lang w:val="zh-CN"/>
              </w:rPr>
            </w:pPr>
            <w:r>
              <w:rPr>
                <w:rFonts w:hint="eastAsia" w:ascii="宋体" w:hAnsi="宋体" w:cs="宋体"/>
                <w:color w:val="auto"/>
                <w:szCs w:val="21"/>
                <w:highlight w:val="none"/>
                <w:lang w:val="zh-CN"/>
              </w:rPr>
              <w:t>诚信承诺书</w:t>
            </w:r>
          </w:p>
        </w:tc>
        <w:tc>
          <w:tcPr>
            <w:tcW w:w="3879" w:type="dxa"/>
            <w:vAlign w:val="center"/>
          </w:tcPr>
          <w:p>
            <w:pPr>
              <w:spacing w:line="300" w:lineRule="auto"/>
              <w:jc w:val="center"/>
              <w:rPr>
                <w:rFonts w:ascii="宋体" w:hAnsi="宋体" w:cs="宋体"/>
                <w:color w:val="auto"/>
                <w:kern w:val="21"/>
                <w:szCs w:val="21"/>
                <w:highlight w:val="none"/>
              </w:rPr>
            </w:pPr>
            <w:r>
              <w:rPr>
                <w:rFonts w:hint="eastAsia" w:ascii="宋体" w:hAnsi="宋体" w:cs="宋体"/>
                <w:color w:val="auto"/>
                <w:szCs w:val="21"/>
                <w:highlight w:val="none"/>
              </w:rPr>
              <w:t>有效的</w:t>
            </w:r>
            <w:r>
              <w:rPr>
                <w:rFonts w:hint="eastAsia" w:ascii="宋体" w:hAnsi="宋体" w:cs="宋体"/>
                <w:color w:val="auto"/>
                <w:szCs w:val="21"/>
                <w:highlight w:val="none"/>
                <w:lang w:val="zh-CN"/>
              </w:rPr>
              <w:t>诚信承诺书</w:t>
            </w:r>
          </w:p>
        </w:tc>
        <w:tc>
          <w:tcPr>
            <w:tcW w:w="2783" w:type="dxa"/>
            <w:vAlign w:val="center"/>
          </w:tcPr>
          <w:p>
            <w:pPr>
              <w:spacing w:line="300" w:lineRule="auto"/>
              <w:jc w:val="center"/>
              <w:rPr>
                <w:rFonts w:ascii="宋体" w:hAnsi="宋体" w:cs="宋体"/>
                <w:color w:val="auto"/>
                <w:kern w:val="21"/>
                <w:szCs w:val="21"/>
                <w:highlight w:val="none"/>
              </w:rPr>
            </w:pPr>
            <w:r>
              <w:rPr>
                <w:rFonts w:hint="eastAsia" w:ascii="宋体" w:hAnsi="宋体" w:cs="宋体"/>
                <w:color w:val="auto"/>
                <w:kern w:val="21"/>
                <w:szCs w:val="21"/>
                <w:highlight w:val="none"/>
              </w:rPr>
              <w:t>有效的诚信承诺书原件</w:t>
            </w:r>
          </w:p>
          <w:p>
            <w:pPr>
              <w:spacing w:line="300" w:lineRule="auto"/>
              <w:jc w:val="center"/>
              <w:rPr>
                <w:rFonts w:ascii="宋体" w:hAnsi="宋体" w:cs="宋体"/>
                <w:color w:val="auto"/>
                <w:kern w:val="21"/>
                <w:szCs w:val="21"/>
                <w:highlight w:val="none"/>
              </w:rPr>
            </w:pPr>
            <w:r>
              <w:rPr>
                <w:rFonts w:hint="eastAsia" w:ascii="宋体" w:hAnsi="宋体" w:cs="宋体"/>
                <w:color w:val="auto"/>
                <w:szCs w:val="21"/>
                <w:highlight w:val="none"/>
                <w:lang w:val="zh-CN"/>
              </w:rPr>
              <w:t>（格式见第</w:t>
            </w:r>
            <w:r>
              <w:rPr>
                <w:rFonts w:hint="eastAsia" w:ascii="宋体" w:hAnsi="宋体" w:cs="宋体"/>
                <w:color w:val="auto"/>
                <w:szCs w:val="21"/>
                <w:highlight w:val="none"/>
              </w:rPr>
              <w:t>六</w:t>
            </w:r>
            <w:r>
              <w:rPr>
                <w:rFonts w:hint="eastAsia" w:ascii="宋体" w:hAnsi="宋体" w:cs="宋体"/>
                <w:color w:val="auto"/>
                <w:szCs w:val="21"/>
                <w:highlight w:val="none"/>
                <w:lang w:val="zh-CN"/>
              </w:rPr>
              <w:t>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 w:type="dxa"/>
            <w:bottom w:w="0" w:type="dxa"/>
            <w:right w:w="10" w:type="dxa"/>
          </w:tblCellMar>
        </w:tblPrEx>
        <w:trPr>
          <w:trHeight w:val="592" w:hRule="atLeast"/>
          <w:jc w:val="center"/>
        </w:trPr>
        <w:tc>
          <w:tcPr>
            <w:tcW w:w="600" w:type="dxa"/>
            <w:vAlign w:val="center"/>
          </w:tcPr>
          <w:p>
            <w:pPr>
              <w:spacing w:line="300" w:lineRule="auto"/>
              <w:rPr>
                <w:rFonts w:ascii="宋体" w:hAnsi="宋体" w:cs="宋体"/>
                <w:color w:val="auto"/>
                <w:szCs w:val="21"/>
                <w:highlight w:val="none"/>
              </w:rPr>
            </w:pPr>
            <w:r>
              <w:rPr>
                <w:rFonts w:hint="eastAsia" w:ascii="宋体" w:hAnsi="宋体" w:cs="宋体"/>
                <w:color w:val="auto"/>
                <w:szCs w:val="21"/>
                <w:highlight w:val="none"/>
                <w:lang w:val="zh-CN"/>
              </w:rPr>
              <w:t>备注</w:t>
            </w:r>
          </w:p>
        </w:tc>
        <w:tc>
          <w:tcPr>
            <w:tcW w:w="8789" w:type="dxa"/>
            <w:gridSpan w:val="3"/>
            <w:vAlign w:val="center"/>
          </w:tcPr>
          <w:p>
            <w:pPr>
              <w:widowControl/>
              <w:spacing w:line="300" w:lineRule="auto"/>
              <w:jc w:val="left"/>
              <w:rPr>
                <w:rFonts w:ascii="宋体" w:hAnsi="宋体" w:cs="宋体"/>
                <w:color w:val="auto"/>
                <w:kern w:val="0"/>
                <w:szCs w:val="21"/>
                <w:highlight w:val="none"/>
                <w:lang w:val="zh-CN"/>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zh-CN"/>
              </w:rPr>
              <w:t>上述序号</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zh-CN"/>
              </w:rPr>
              <w:t>～</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lang w:val="zh-CN"/>
              </w:rPr>
              <w:t>提供有效原件的复印件并加盖投标人单位公章。以上序号1～</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lang w:val="zh-CN"/>
              </w:rPr>
              <w:t>中任何一条不符合要求，则资格审查不通过；</w:t>
            </w:r>
          </w:p>
          <w:p>
            <w:pPr>
              <w:widowControl/>
              <w:spacing w:line="30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zh-CN"/>
              </w:rPr>
              <w:t>如法人名称和法人代表姓名发生变化，请提供相关证明；证书如遇年检，请提供相关证明。否则，资格审查不通过。</w:t>
            </w:r>
          </w:p>
        </w:tc>
      </w:tr>
    </w:tbl>
    <w:p>
      <w:pPr>
        <w:keepNext/>
        <w:keepLines/>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lang w:val="en-US" w:eastAsia="zh-CN"/>
        </w:rPr>
        <w:t>二</w:t>
      </w:r>
      <w:r>
        <w:rPr>
          <w:rFonts w:hint="eastAsia" w:ascii="宋体" w:hAnsi="宋体" w:cs="宋体"/>
          <w:b/>
          <w:color w:val="auto"/>
          <w:szCs w:val="21"/>
          <w:highlight w:val="none"/>
        </w:rPr>
        <w:t>、商务标评审</w:t>
      </w:r>
    </w:p>
    <w:p>
      <w:pPr>
        <w:keepNext w:val="0"/>
        <w:keepLines w:val="0"/>
        <w:pageBreakBefore w:val="0"/>
        <w:widowControl/>
        <w:kinsoku/>
        <w:wordWrap/>
        <w:overflowPunct/>
        <w:topLinePunct w:val="0"/>
        <w:autoSpaceDE/>
        <w:autoSpaceDN/>
        <w:bidi w:val="0"/>
        <w:adjustRightInd/>
        <w:snapToGrid/>
        <w:spacing w:line="480" w:lineRule="exact"/>
        <w:ind w:firstLine="470"/>
        <w:textAlignment w:val="auto"/>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本处计算评标基准价、报价得分、排名时均以</w:t>
      </w:r>
      <w:r>
        <w:rPr>
          <w:rFonts w:hint="eastAsia" w:ascii="宋体" w:hAnsi="宋体" w:cs="宋体"/>
          <w:b/>
          <w:bCs/>
          <w:color w:val="auto"/>
          <w:kern w:val="0"/>
          <w:szCs w:val="21"/>
          <w:highlight w:val="none"/>
          <w:lang w:val="en-US" w:eastAsia="zh-CN"/>
        </w:rPr>
        <w:t>总价报价</w:t>
      </w:r>
      <w:r>
        <w:rPr>
          <w:rFonts w:hint="eastAsia" w:ascii="宋体" w:hAnsi="宋体" w:cs="宋体"/>
          <w:b/>
          <w:bCs/>
          <w:color w:val="auto"/>
          <w:kern w:val="0"/>
          <w:szCs w:val="21"/>
          <w:highlight w:val="none"/>
        </w:rPr>
        <w:t>进行计算。</w:t>
      </w:r>
    </w:p>
    <w:p>
      <w:pPr>
        <w:keepNext w:val="0"/>
        <w:keepLines w:val="0"/>
        <w:pageBreakBefore w:val="0"/>
        <w:widowControl/>
        <w:kinsoku/>
        <w:wordWrap/>
        <w:overflowPunct/>
        <w:topLinePunct w:val="0"/>
        <w:autoSpaceDE/>
        <w:autoSpaceDN/>
        <w:bidi w:val="0"/>
        <w:adjustRightInd/>
        <w:snapToGrid/>
        <w:spacing w:line="480" w:lineRule="exact"/>
        <w:ind w:firstLine="470"/>
        <w:textAlignment w:val="auto"/>
        <w:rPr>
          <w:rFonts w:ascii="宋体" w:hAnsi="宋体" w:cs="宋体"/>
          <w:color w:val="auto"/>
          <w:kern w:val="0"/>
          <w:szCs w:val="21"/>
          <w:highlight w:val="none"/>
        </w:rPr>
      </w:pPr>
      <w:r>
        <w:rPr>
          <w:rFonts w:hint="eastAsia" w:ascii="宋体" w:hAnsi="宋体" w:cs="宋体"/>
          <w:color w:val="auto"/>
          <w:kern w:val="0"/>
          <w:szCs w:val="21"/>
          <w:highlight w:val="none"/>
        </w:rPr>
        <w:t>（1）确定有效报价：</w:t>
      </w:r>
    </w:p>
    <w:p>
      <w:pPr>
        <w:keepNext w:val="0"/>
        <w:keepLines w:val="0"/>
        <w:pageBreakBefore w:val="0"/>
        <w:widowControl w:val="0"/>
        <w:kinsoku/>
        <w:wordWrap/>
        <w:overflowPunct/>
        <w:topLinePunct w:val="0"/>
        <w:autoSpaceDE/>
        <w:autoSpaceDN/>
        <w:bidi w:val="0"/>
        <w:adjustRightInd/>
        <w:snapToGrid/>
        <w:spacing w:line="480" w:lineRule="exact"/>
        <w:ind w:firstLine="517" w:firstLineChars="245"/>
        <w:textAlignment w:val="auto"/>
        <w:rPr>
          <w:rFonts w:ascii="宋体" w:hAnsi="宋体" w:cs="宋体"/>
          <w:b/>
          <w:color w:val="auto"/>
          <w:szCs w:val="21"/>
          <w:highlight w:val="none"/>
        </w:rPr>
      </w:pPr>
      <w:r>
        <w:rPr>
          <w:rFonts w:hint="eastAsia" w:ascii="宋体" w:hAnsi="宋体" w:cs="宋体"/>
          <w:b/>
          <w:color w:val="auto"/>
          <w:szCs w:val="21"/>
          <w:highlight w:val="none"/>
          <w:lang w:val="en-US" w:eastAsia="zh-CN"/>
        </w:rPr>
        <w:t>本项目道路照明管线长度暂估50km，单价最高限价2000元/km，总价最高限价10万元。</w:t>
      </w:r>
      <w:r>
        <w:rPr>
          <w:rFonts w:hint="eastAsia" w:ascii="宋体" w:hAnsi="宋体" w:cs="宋体"/>
          <w:b/>
          <w:color w:val="auto"/>
          <w:szCs w:val="21"/>
          <w:highlight w:val="none"/>
        </w:rPr>
        <w:t>投标人的投标</w:t>
      </w:r>
      <w:r>
        <w:rPr>
          <w:rFonts w:hint="eastAsia" w:ascii="宋体" w:hAnsi="宋体" w:cs="宋体"/>
          <w:b/>
          <w:color w:val="auto"/>
          <w:szCs w:val="21"/>
          <w:highlight w:val="none"/>
          <w:lang w:val="en-US" w:eastAsia="zh-CN"/>
        </w:rPr>
        <w:t>报价低于单价最高限价、总价</w:t>
      </w:r>
      <w:r>
        <w:rPr>
          <w:rFonts w:hint="eastAsia" w:ascii="宋体" w:hAnsi="宋体" w:cs="宋体"/>
          <w:b/>
          <w:color w:val="auto"/>
          <w:szCs w:val="21"/>
          <w:highlight w:val="none"/>
        </w:rPr>
        <w:t>最高限价的为有效报价，高于</w:t>
      </w:r>
      <w:r>
        <w:rPr>
          <w:rFonts w:hint="eastAsia" w:ascii="宋体" w:hAnsi="宋体" w:cs="宋体"/>
          <w:b/>
          <w:color w:val="auto"/>
          <w:szCs w:val="21"/>
          <w:highlight w:val="none"/>
          <w:lang w:val="en-US" w:eastAsia="zh-CN"/>
        </w:rPr>
        <w:t>或等于对应</w:t>
      </w:r>
      <w:r>
        <w:rPr>
          <w:rFonts w:hint="eastAsia" w:ascii="宋体" w:hAnsi="宋体" w:cs="宋体"/>
          <w:b/>
          <w:color w:val="auto"/>
          <w:szCs w:val="21"/>
          <w:highlight w:val="none"/>
        </w:rPr>
        <w:t>最高限价的作无效标处理。</w:t>
      </w:r>
    </w:p>
    <w:p>
      <w:pPr>
        <w:keepNext w:val="0"/>
        <w:keepLines w:val="0"/>
        <w:pageBreakBefore w:val="0"/>
        <w:widowControl w:val="0"/>
        <w:numPr>
          <w:ilvl w:val="0"/>
          <w:numId w:val="2"/>
        </w:numPr>
        <w:kinsoku/>
        <w:wordWrap/>
        <w:overflowPunct/>
        <w:topLinePunct w:val="0"/>
        <w:autoSpaceDE/>
        <w:autoSpaceDN/>
        <w:bidi w:val="0"/>
        <w:adjustRightInd/>
        <w:spacing w:line="480" w:lineRule="exact"/>
        <w:ind w:firstLine="420"/>
        <w:textAlignment w:val="auto"/>
        <w:rPr>
          <w:rFonts w:ascii="宋体" w:hAnsi="宋体" w:cs="宋体"/>
          <w:color w:val="auto"/>
          <w:kern w:val="0"/>
          <w:szCs w:val="21"/>
          <w:highlight w:val="none"/>
        </w:rPr>
      </w:pPr>
      <w:r>
        <w:rPr>
          <w:rFonts w:hint="eastAsia" w:ascii="宋体" w:hAnsi="宋体" w:cs="宋体"/>
          <w:color w:val="auto"/>
          <w:kern w:val="0"/>
          <w:szCs w:val="21"/>
          <w:highlight w:val="none"/>
        </w:rPr>
        <w:t>确定评标基准价：</w:t>
      </w:r>
    </w:p>
    <w:p>
      <w:pPr>
        <w:keepNext w:val="0"/>
        <w:keepLines w:val="0"/>
        <w:pageBreakBefore w:val="0"/>
        <w:widowControl w:val="0"/>
        <w:kinsoku/>
        <w:wordWrap/>
        <w:overflowPunct/>
        <w:topLinePunct w:val="0"/>
        <w:autoSpaceDE/>
        <w:autoSpaceDN/>
        <w:bidi w:val="0"/>
        <w:adjustRightInd/>
        <w:spacing w:line="480" w:lineRule="exact"/>
        <w:ind w:firstLine="420" w:firstLineChars="200"/>
        <w:textAlignment w:val="auto"/>
        <w:rPr>
          <w:rFonts w:ascii="宋体" w:hAnsi="宋体" w:cs="宋体"/>
          <w:color w:val="auto"/>
          <w:kern w:val="0"/>
          <w:szCs w:val="21"/>
          <w:highlight w:val="none"/>
        </w:rPr>
      </w:pPr>
      <w:r>
        <w:rPr>
          <w:rFonts w:hint="eastAsia" w:ascii="宋体" w:hAnsi="宋体" w:cs="宋体"/>
          <w:color w:val="auto"/>
          <w:kern w:val="0"/>
          <w:szCs w:val="21"/>
          <w:highlight w:val="none"/>
        </w:rPr>
        <w:t>所有有效投标报价的算术平均值为评标基准价。</w:t>
      </w:r>
    </w:p>
    <w:p>
      <w:pPr>
        <w:keepNext w:val="0"/>
        <w:keepLines w:val="0"/>
        <w:pageBreakBefore w:val="0"/>
        <w:widowControl w:val="0"/>
        <w:kinsoku/>
        <w:wordWrap/>
        <w:overflowPunct/>
        <w:topLinePunct w:val="0"/>
        <w:autoSpaceDE/>
        <w:autoSpaceDN/>
        <w:bidi w:val="0"/>
        <w:adjustRightInd/>
        <w:spacing w:line="480" w:lineRule="exact"/>
        <w:ind w:firstLine="420" w:firstLineChars="200"/>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（3）投标报价与评标基准价相等的得</w:t>
      </w:r>
      <w:r>
        <w:rPr>
          <w:rFonts w:hint="eastAsia" w:ascii="宋体" w:hAnsi="宋体" w:cs="宋体"/>
          <w:color w:val="auto"/>
          <w:kern w:val="0"/>
          <w:szCs w:val="21"/>
          <w:highlight w:val="none"/>
          <w:lang w:val="en-US" w:eastAsia="zh-CN"/>
        </w:rPr>
        <w:t>报价分</w:t>
      </w:r>
      <w:r>
        <w:rPr>
          <w:rFonts w:hint="eastAsia" w:ascii="宋体" w:hAnsi="宋体" w:cs="宋体"/>
          <w:color w:val="auto"/>
          <w:kern w:val="0"/>
          <w:szCs w:val="21"/>
          <w:highlight w:val="none"/>
        </w:rPr>
        <w:t>满分。投标报价与评标基准价相比，每上浮1%扣0.</w:t>
      </w:r>
      <w:r>
        <w:rPr>
          <w:rFonts w:hint="eastAsia" w:ascii="宋体" w:hAnsi="宋体" w:cs="宋体"/>
          <w:color w:val="auto"/>
          <w:kern w:val="0"/>
          <w:szCs w:val="21"/>
          <w:highlight w:val="none"/>
          <w:lang w:val="en-US" w:eastAsia="zh-CN"/>
        </w:rPr>
        <w:t>9</w:t>
      </w:r>
      <w:r>
        <w:rPr>
          <w:rFonts w:hint="eastAsia" w:ascii="宋体" w:hAnsi="宋体" w:cs="宋体"/>
          <w:color w:val="auto"/>
          <w:kern w:val="0"/>
          <w:szCs w:val="21"/>
          <w:highlight w:val="none"/>
        </w:rPr>
        <w:t>分，每下浮1%扣0.</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分，不足1%时采用插入法，得分采用四舍五入法保留小数点后两位。</w:t>
      </w:r>
    </w:p>
    <w:p>
      <w:pPr>
        <w:keepNext w:val="0"/>
        <w:keepLines w:val="0"/>
        <w:pageBreakBefore w:val="0"/>
        <w:widowControl w:val="0"/>
        <w:kinsoku/>
        <w:wordWrap/>
        <w:overflowPunct/>
        <w:topLinePunct w:val="0"/>
        <w:autoSpaceDE/>
        <w:autoSpaceDN/>
        <w:bidi w:val="0"/>
        <w:adjustRightInd/>
        <w:snapToGrid w:val="0"/>
        <w:spacing w:line="480" w:lineRule="exact"/>
        <w:ind w:firstLine="424" w:firstLineChars="202"/>
        <w:textAlignment w:val="auto"/>
        <w:rPr>
          <w:rFonts w:ascii="宋体" w:hAnsi="宋体" w:cs="宋体"/>
          <w:b/>
          <w:color w:val="auto"/>
          <w:szCs w:val="21"/>
          <w:highlight w:val="none"/>
        </w:rPr>
      </w:pPr>
      <w:r>
        <w:rPr>
          <w:rFonts w:hint="eastAsia" w:ascii="宋体" w:hAnsi="宋体" w:cs="宋体"/>
          <w:color w:val="auto"/>
          <w:szCs w:val="21"/>
          <w:highlight w:val="none"/>
        </w:rPr>
        <w:t>评标结束后，除评标过程中存在计算错误外，上述评标基准价不因招投标当事人质疑、投诉、复议以及其它任何情形而改变。</w:t>
      </w:r>
    </w:p>
    <w:p>
      <w:pPr>
        <w:keepNext/>
        <w:keepLines/>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四、确定中标候选人</w:t>
      </w:r>
    </w:p>
    <w:p>
      <w:pPr>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1、评标委员会按商务标得分从高到低的顺序确定排名次序，推荐总得分由高到低排名前三的分别为第一、第二、第三中标候选人。若得分相同时，则</w:t>
      </w:r>
      <w:r>
        <w:rPr>
          <w:rFonts w:hint="eastAsia" w:ascii="宋体" w:hAnsi="宋体" w:cs="宋体"/>
          <w:color w:val="auto"/>
          <w:kern w:val="0"/>
          <w:szCs w:val="21"/>
          <w:highlight w:val="none"/>
          <w:lang w:val="en-US" w:eastAsia="zh-CN"/>
        </w:rPr>
        <w:t>投标报价低者优先</w:t>
      </w:r>
      <w:r>
        <w:rPr>
          <w:rFonts w:hint="eastAsia" w:ascii="宋体" w:hAnsi="宋体" w:cs="宋体"/>
          <w:color w:val="auto"/>
          <w:kern w:val="0"/>
          <w:szCs w:val="21"/>
          <w:highlight w:val="none"/>
        </w:rPr>
        <w:t>；若</w:t>
      </w:r>
      <w:r>
        <w:rPr>
          <w:rFonts w:hint="eastAsia" w:ascii="宋体" w:hAnsi="宋体" w:cs="宋体"/>
          <w:color w:val="auto"/>
          <w:kern w:val="0"/>
          <w:szCs w:val="21"/>
          <w:highlight w:val="none"/>
          <w:lang w:val="en-US" w:eastAsia="zh-CN"/>
        </w:rPr>
        <w:t>投标报价仍相同</w:t>
      </w:r>
      <w:r>
        <w:rPr>
          <w:rFonts w:hint="eastAsia" w:ascii="宋体" w:hAnsi="宋体" w:cs="宋体"/>
          <w:color w:val="auto"/>
          <w:kern w:val="0"/>
          <w:szCs w:val="21"/>
          <w:highlight w:val="none"/>
        </w:rPr>
        <w:t>，则采取现场抽签的方式确定。</w:t>
      </w:r>
    </w:p>
    <w:p>
      <w:pPr>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2、本项目第一中标候选人原则上为中标人，中标价为其投标报价。当排名第一的中标候选人放弃中标、因不可抗力不能履行合同、不按照招标文件要求提交履约保证金，或者被查实存在影响中标结果的违法行为等情形，不符合中标条件的，招标人可以按照评标结果排名顺序依次确定其他中标候选人为中标人，也可以重新招标。</w:t>
      </w:r>
    </w:p>
    <w:p>
      <w:pPr>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3、评标过程中出现本评标办法未尽事宜，由评标委员会根据有关法律、法规讨论决定，评标办法的解释权属评标委员会。</w:t>
      </w:r>
    </w:p>
    <w:p>
      <w:pPr>
        <w:rPr>
          <w:color w:val="auto"/>
          <w:kern w:val="0"/>
          <w:highlight w:val="none"/>
        </w:rPr>
      </w:pPr>
      <w:r>
        <w:rPr>
          <w:color w:val="auto"/>
          <w:kern w:val="0"/>
          <w:highlight w:val="none"/>
        </w:rPr>
        <w:br w:type="page"/>
      </w:r>
    </w:p>
    <w:p>
      <w:pPr>
        <w:keepNext/>
        <w:keepLines/>
        <w:numPr>
          <w:ilvl w:val="0"/>
          <w:numId w:val="3"/>
        </w:numPr>
        <w:spacing w:before="120" w:after="120" w:line="360" w:lineRule="auto"/>
        <w:jc w:val="center"/>
        <w:outlineLvl w:val="0"/>
        <w:rPr>
          <w:rFonts w:ascii="Times New Roman" w:hAnsi="Times New Roman"/>
          <w:b/>
          <w:color w:val="auto"/>
          <w:sz w:val="36"/>
          <w:szCs w:val="36"/>
          <w:highlight w:val="none"/>
        </w:rPr>
      </w:pPr>
      <w:r>
        <w:rPr>
          <w:rFonts w:ascii="Times New Roman" w:hAnsi="Times New Roman"/>
          <w:b/>
          <w:color w:val="auto"/>
          <w:sz w:val="36"/>
          <w:szCs w:val="36"/>
          <w:highlight w:val="none"/>
        </w:rPr>
        <w:t>合同主要条款</w:t>
      </w:r>
    </w:p>
    <w:p>
      <w:pPr>
        <w:spacing w:line="440" w:lineRule="exact"/>
        <w:jc w:val="left"/>
        <w:rPr>
          <w:rFonts w:ascii="Times New Roman" w:hAnsi="Times New Roman"/>
          <w:color w:val="auto"/>
          <w:sz w:val="32"/>
          <w:szCs w:val="32"/>
          <w:highlight w:val="none"/>
        </w:rPr>
      </w:pPr>
    </w:p>
    <w:p>
      <w:pPr>
        <w:rPr>
          <w:rFonts w:hint="eastAsia"/>
        </w:rPr>
      </w:pPr>
    </w:p>
    <w:p>
      <w:pPr>
        <w:rPr>
          <w:rFonts w:hint="eastAsia"/>
        </w:rPr>
      </w:pPr>
    </w:p>
    <w:p>
      <w:pPr>
        <w:jc w:val="center"/>
        <w:rPr>
          <w:rFonts w:hint="eastAsia" w:ascii="宋体" w:hAnsi="宋体" w:eastAsia="宋体" w:cs="宋体"/>
          <w:b/>
          <w:bCs/>
          <w:color w:val="000000"/>
          <w:sz w:val="52"/>
          <w:szCs w:val="18"/>
        </w:rPr>
      </w:pPr>
      <w:r>
        <w:rPr>
          <w:rFonts w:hint="eastAsia" w:ascii="宋体" w:hAnsi="宋体" w:eastAsia="宋体" w:cs="宋体"/>
          <w:b/>
          <w:bCs/>
          <w:color w:val="000000"/>
          <w:sz w:val="52"/>
          <w:szCs w:val="18"/>
        </w:rPr>
        <w:t>测 绘 合 同</w:t>
      </w:r>
    </w:p>
    <w:p>
      <w:pPr>
        <w:jc w:val="center"/>
        <w:rPr>
          <w:rFonts w:hint="eastAsia" w:ascii="宋体" w:hAnsi="宋体" w:eastAsia="宋体" w:cs="宋体"/>
          <w:b/>
          <w:bCs/>
          <w:color w:val="000000"/>
          <w:sz w:val="48"/>
          <w:szCs w:val="18"/>
        </w:rPr>
      </w:pPr>
    </w:p>
    <w:p>
      <w:pPr>
        <w:jc w:val="center"/>
        <w:rPr>
          <w:rFonts w:hint="eastAsia" w:ascii="宋体" w:hAnsi="宋体" w:eastAsia="宋体" w:cs="宋体"/>
          <w:color w:val="000000"/>
          <w:sz w:val="32"/>
          <w:szCs w:val="18"/>
        </w:rPr>
      </w:pPr>
      <w:r>
        <w:rPr>
          <w:rFonts w:hint="eastAsia" w:ascii="宋体" w:hAnsi="宋体" w:eastAsia="宋体" w:cs="宋体"/>
          <w:color w:val="000000"/>
          <w:sz w:val="32"/>
          <w:szCs w:val="18"/>
        </w:rPr>
        <w:t xml:space="preserve">（ GF-2000-0306 ）  </w:t>
      </w: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spacing w:line="680" w:lineRule="exact"/>
        <w:ind w:firstLine="900" w:firstLineChars="300"/>
        <w:rPr>
          <w:rFonts w:hint="eastAsia" w:ascii="宋体" w:hAnsi="宋体" w:eastAsia="宋体" w:cs="宋体"/>
          <w:b/>
          <w:spacing w:val="-12"/>
          <w:sz w:val="44"/>
          <w:szCs w:val="44"/>
        </w:rPr>
      </w:pPr>
      <w:r>
        <w:rPr>
          <w:rFonts w:hint="eastAsia" w:ascii="宋体" w:hAnsi="宋体" w:eastAsia="宋体" w:cs="宋体"/>
          <w:color w:val="000000"/>
          <w:sz w:val="30"/>
          <w:szCs w:val="18"/>
        </w:rPr>
        <w:t>工程名称：</w:t>
      </w:r>
      <w:r>
        <w:rPr>
          <w:rFonts w:hint="eastAsia" w:ascii="宋体" w:hAnsi="宋体" w:eastAsia="宋体" w:cs="宋体"/>
          <w:color w:val="000000"/>
          <w:sz w:val="30"/>
          <w:szCs w:val="18"/>
          <w:u w:val="single"/>
        </w:rPr>
        <w:t xml:space="preserve">  </w:t>
      </w:r>
      <w:r>
        <w:rPr>
          <w:rFonts w:hint="eastAsia" w:ascii="宋体" w:hAnsi="宋体" w:cs="宋体"/>
          <w:color w:val="000000"/>
          <w:sz w:val="30"/>
          <w:szCs w:val="18"/>
          <w:u w:val="single"/>
          <w:lang w:val="en-US" w:eastAsia="zh-CN"/>
        </w:rPr>
        <w:t xml:space="preserve">                                   </w:t>
      </w:r>
      <w:r>
        <w:rPr>
          <w:rFonts w:hint="eastAsia" w:ascii="宋体" w:hAnsi="宋体" w:eastAsia="宋体" w:cs="宋体"/>
          <w:color w:val="000000"/>
          <w:sz w:val="30"/>
          <w:szCs w:val="18"/>
          <w:u w:val="single"/>
        </w:rPr>
        <w:t xml:space="preserve">  </w:t>
      </w:r>
    </w:p>
    <w:p>
      <w:pPr>
        <w:ind w:firstLine="900" w:firstLineChars="300"/>
        <w:rPr>
          <w:rFonts w:hint="eastAsia" w:ascii="宋体" w:hAnsi="宋体" w:eastAsia="宋体" w:cs="宋体"/>
          <w:color w:val="000000"/>
          <w:sz w:val="30"/>
          <w:szCs w:val="18"/>
        </w:rPr>
      </w:pPr>
      <w:r>
        <w:rPr>
          <w:rFonts w:hint="eastAsia" w:ascii="宋体" w:hAnsi="宋体" w:eastAsia="宋体" w:cs="宋体"/>
          <w:color w:val="000000"/>
          <w:sz w:val="30"/>
          <w:szCs w:val="18"/>
        </w:rPr>
        <w:t>合同编号：</w:t>
      </w:r>
      <w:r>
        <w:rPr>
          <w:rFonts w:hint="eastAsia" w:ascii="宋体" w:hAnsi="宋体" w:eastAsia="宋体" w:cs="宋体"/>
          <w:color w:val="000000"/>
          <w:sz w:val="30"/>
          <w:szCs w:val="18"/>
          <w:u w:val="single"/>
        </w:rPr>
        <w:t xml:space="preserve">              </w:t>
      </w:r>
      <w:r>
        <w:rPr>
          <w:rFonts w:hint="eastAsia" w:ascii="宋体" w:hAnsi="宋体" w:cs="宋体"/>
          <w:color w:val="000000"/>
          <w:sz w:val="30"/>
          <w:szCs w:val="18"/>
          <w:u w:val="single"/>
          <w:lang w:val="en-US" w:eastAsia="zh-CN"/>
        </w:rPr>
        <w:t xml:space="preserve">              </w:t>
      </w:r>
      <w:r>
        <w:rPr>
          <w:rFonts w:hint="eastAsia" w:ascii="宋体" w:hAnsi="宋体" w:eastAsia="宋体" w:cs="宋体"/>
          <w:color w:val="000000"/>
          <w:sz w:val="30"/>
          <w:szCs w:val="18"/>
          <w:u w:val="single"/>
        </w:rPr>
        <w:t xml:space="preserve">           </w:t>
      </w: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jc w:val="center"/>
        <w:rPr>
          <w:rFonts w:hint="eastAsia" w:ascii="宋体" w:hAnsi="宋体" w:eastAsia="宋体" w:cs="宋体"/>
          <w:color w:val="000000"/>
          <w:sz w:val="28"/>
          <w:szCs w:val="18"/>
        </w:rPr>
      </w:pPr>
    </w:p>
    <w:p>
      <w:pPr>
        <w:spacing w:line="340" w:lineRule="exact"/>
        <w:jc w:val="center"/>
        <w:rPr>
          <w:rFonts w:hint="eastAsia" w:ascii="宋体" w:hAnsi="宋体" w:eastAsia="宋体" w:cs="宋体"/>
          <w:color w:val="000000"/>
          <w:sz w:val="28"/>
          <w:szCs w:val="18"/>
        </w:rPr>
      </w:pPr>
      <w:r>
        <w:rPr>
          <w:rFonts w:hint="eastAsia" w:ascii="宋体" w:hAnsi="宋体" w:eastAsia="宋体" w:cs="宋体"/>
          <w:color w:val="000000"/>
          <w:sz w:val="28"/>
          <w:szCs w:val="18"/>
        </w:rPr>
        <w:t>国   家   测  绘  局</w:t>
      </w:r>
    </w:p>
    <w:p>
      <w:pPr>
        <w:spacing w:line="340" w:lineRule="exact"/>
        <w:jc w:val="center"/>
        <w:rPr>
          <w:rFonts w:hint="eastAsia" w:ascii="宋体" w:hAnsi="宋体" w:eastAsia="宋体" w:cs="宋体"/>
          <w:color w:val="000000"/>
          <w:sz w:val="28"/>
          <w:szCs w:val="18"/>
        </w:rPr>
      </w:pPr>
      <w:r>
        <w:rPr>
          <w:rFonts w:hint="eastAsia" w:ascii="宋体" w:hAnsi="宋体" w:eastAsia="宋体" w:cs="宋体"/>
          <w:color w:val="000000"/>
          <w:sz w:val="18"/>
          <w:szCs w:val="18"/>
        </w:rPr>
        <w:t xml:space="preserve">　　　　　　　　　　　　　　　　　　　　 </w:t>
      </w:r>
      <w:r>
        <w:rPr>
          <w:rFonts w:hint="eastAsia" w:ascii="宋体" w:hAnsi="宋体" w:eastAsia="宋体" w:cs="宋体"/>
          <w:color w:val="000000"/>
          <w:sz w:val="28"/>
          <w:szCs w:val="18"/>
        </w:rPr>
        <w:t>制定</w:t>
      </w:r>
    </w:p>
    <w:p>
      <w:pPr>
        <w:spacing w:line="340" w:lineRule="exact"/>
        <w:jc w:val="center"/>
        <w:rPr>
          <w:rFonts w:hint="eastAsia" w:ascii="宋体" w:hAnsi="宋体" w:eastAsia="宋体" w:cs="宋体"/>
          <w:color w:val="000000"/>
          <w:sz w:val="28"/>
          <w:szCs w:val="18"/>
        </w:rPr>
      </w:pPr>
      <w:r>
        <w:rPr>
          <w:rFonts w:hint="eastAsia" w:ascii="宋体" w:hAnsi="宋体" w:eastAsia="宋体" w:cs="宋体"/>
          <w:color w:val="000000"/>
          <w:sz w:val="28"/>
          <w:szCs w:val="18"/>
        </w:rPr>
        <w:t>国家工商行政管理局</w:t>
      </w:r>
    </w:p>
    <w:p>
      <w:pPr>
        <w:rPr>
          <w:rFonts w:hint="eastAsia" w:ascii="宋体" w:hAnsi="宋体" w:eastAsia="宋体" w:cs="宋体"/>
          <w:color w:val="000000"/>
          <w:sz w:val="24"/>
          <w:szCs w:val="18"/>
        </w:rPr>
      </w:pPr>
      <w:r>
        <w:rPr>
          <w:rFonts w:hint="eastAsia" w:ascii="宋体" w:hAnsi="宋体" w:eastAsia="宋体" w:cs="宋体"/>
          <w:color w:val="000000"/>
          <w:sz w:val="24"/>
          <w:szCs w:val="18"/>
        </w:rPr>
        <w:br w:type="page"/>
      </w:r>
    </w:p>
    <w:p>
      <w:pPr>
        <w:rPr>
          <w:rFonts w:hint="eastAsia" w:ascii="宋体" w:hAnsi="宋体" w:eastAsia="宋体" w:cs="宋体"/>
          <w:color w:val="000000"/>
          <w:sz w:val="21"/>
          <w:szCs w:val="21"/>
        </w:rPr>
      </w:pPr>
      <w:r>
        <w:rPr>
          <w:rFonts w:hint="eastAsia" w:ascii="宋体" w:hAnsi="宋体" w:eastAsia="宋体" w:cs="宋体"/>
          <w:color w:val="000000"/>
          <w:sz w:val="21"/>
          <w:szCs w:val="21"/>
        </w:rPr>
        <w:t>定作人（甲方）：</w:t>
      </w:r>
      <w:r>
        <w:rPr>
          <w:rFonts w:hint="eastAsia" w:ascii="宋体" w:hAnsi="宋体" w:cs="宋体"/>
          <w:color w:val="000000"/>
          <w:sz w:val="21"/>
          <w:szCs w:val="21"/>
          <w:lang w:val="en-US" w:eastAsia="zh-CN"/>
        </w:rPr>
        <w:t xml:space="preserve">                          </w:t>
      </w:r>
      <w:r>
        <w:rPr>
          <w:rFonts w:hint="eastAsia" w:ascii="宋体" w:hAnsi="宋体" w:eastAsia="宋体" w:cs="宋体"/>
          <w:color w:val="000000"/>
          <w:sz w:val="21"/>
          <w:szCs w:val="21"/>
        </w:rPr>
        <w:t xml:space="preserve">        合同编号：</w:t>
      </w:r>
    </w:p>
    <w:p>
      <w:pPr>
        <w:spacing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承揽人（乙方）：</w:t>
      </w:r>
      <w:r>
        <w:rPr>
          <w:rFonts w:hint="eastAsia" w:ascii="宋体" w:hAnsi="宋体" w:cs="宋体"/>
          <w:color w:val="000000"/>
          <w:sz w:val="21"/>
          <w:szCs w:val="21"/>
          <w:lang w:val="en-US" w:eastAsia="zh-CN"/>
        </w:rPr>
        <w:t xml:space="preserve">                          </w:t>
      </w:r>
      <w:r>
        <w:rPr>
          <w:rFonts w:hint="eastAsia" w:ascii="宋体" w:hAnsi="宋体" w:eastAsia="宋体" w:cs="宋体"/>
          <w:b/>
          <w:color w:val="000000"/>
          <w:sz w:val="21"/>
          <w:szCs w:val="21"/>
        </w:rPr>
        <w:t xml:space="preserve">      </w:t>
      </w:r>
      <w:r>
        <w:rPr>
          <w:rFonts w:hint="eastAsia" w:ascii="宋体" w:hAnsi="宋体" w:eastAsia="宋体" w:cs="宋体"/>
          <w:color w:val="000000"/>
          <w:sz w:val="21"/>
          <w:szCs w:val="21"/>
        </w:rPr>
        <w:t xml:space="preserve">  签订地点：</w:t>
      </w:r>
    </w:p>
    <w:p>
      <w:pPr>
        <w:spacing w:line="520" w:lineRule="exact"/>
        <w:rPr>
          <w:rFonts w:hint="eastAsia" w:ascii="宋体" w:hAnsi="宋体" w:eastAsia="宋体" w:cs="宋体"/>
          <w:color w:val="000000"/>
          <w:sz w:val="21"/>
          <w:szCs w:val="21"/>
        </w:rPr>
      </w:pP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根据《中华人民共和国</w:t>
      </w:r>
      <w:r>
        <w:rPr>
          <w:rFonts w:hint="eastAsia" w:ascii="宋体" w:hAnsi="宋体" w:cs="宋体"/>
          <w:color w:val="000000"/>
          <w:sz w:val="21"/>
          <w:szCs w:val="21"/>
          <w:lang w:val="en-US" w:eastAsia="zh-CN"/>
        </w:rPr>
        <w:t>民法典</w:t>
      </w:r>
      <w:r>
        <w:rPr>
          <w:rFonts w:hint="eastAsia" w:ascii="宋体" w:hAnsi="宋体" w:eastAsia="宋体" w:cs="宋体"/>
          <w:color w:val="000000"/>
          <w:sz w:val="21"/>
          <w:szCs w:val="21"/>
        </w:rPr>
        <w:t>》、《中华人民共和国测绘法》和有关法律法规，经双方协商一致签订本合同。</w:t>
      </w:r>
    </w:p>
    <w:p>
      <w:pPr>
        <w:spacing w:after="156" w:afterLines="50"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第一条  测绘范围（包括测区地点、面积、测区地理位置等）：</w:t>
      </w:r>
    </w:p>
    <w:p>
      <w:pPr>
        <w:spacing w:line="360" w:lineRule="auto"/>
        <w:ind w:firstLine="420" w:firstLineChars="20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创新区通沪大道以北区域的GIS系统数据外业测绘，包含且不仅包含该区域内路灯、路灯管线、变压器、变电室、环网柜、分支箱、人孔井、手孔井等设施的测绘工作，</w:t>
      </w:r>
      <w:r>
        <w:rPr>
          <w:rFonts w:hint="eastAsia" w:ascii="宋体" w:hAnsi="宋体" w:cs="宋体"/>
          <w:color w:val="000000"/>
          <w:sz w:val="21"/>
          <w:szCs w:val="21"/>
          <w:lang w:val="en-US" w:eastAsia="zh-CN"/>
        </w:rPr>
        <w:t>道路照明管线长度约15Km。</w:t>
      </w:r>
    </w:p>
    <w:p>
      <w:pPr>
        <w:spacing w:after="156" w:afterLines="50"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第二条  测绘内容（包括测绘项目和工作量等）：</w:t>
      </w:r>
    </w:p>
    <w:p>
      <w:pPr>
        <w:spacing w:line="360" w:lineRule="auto"/>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1.已有资料收集和现状图调绘，探查前的技术准备工作；</w:t>
      </w:r>
    </w:p>
    <w:p>
      <w:pPr>
        <w:spacing w:line="360" w:lineRule="auto"/>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2.探查方法试验及技术设计书编写；</w:t>
      </w:r>
    </w:p>
    <w:p>
      <w:pPr>
        <w:spacing w:line="360" w:lineRule="auto"/>
        <w:ind w:firstLine="420" w:firstLineChars="20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rPr>
        <w:t>3.设施及</w:t>
      </w:r>
      <w:r>
        <w:rPr>
          <w:rFonts w:hint="eastAsia" w:ascii="宋体" w:hAnsi="宋体" w:eastAsia="宋体" w:cs="宋体"/>
          <w:color w:val="000000"/>
          <w:sz w:val="21"/>
          <w:szCs w:val="21"/>
          <w:highlight w:val="none"/>
        </w:rPr>
        <w:t>管线实地调查；</w:t>
      </w:r>
    </w:p>
    <w:p>
      <w:pPr>
        <w:spacing w:line="360" w:lineRule="auto"/>
        <w:ind w:firstLine="420" w:firstLineChars="20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4.设施及管线探查；</w:t>
      </w:r>
    </w:p>
    <w:p>
      <w:pPr>
        <w:spacing w:line="360" w:lineRule="auto"/>
        <w:ind w:firstLine="420" w:firstLineChars="20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5.设施及管线测量；</w:t>
      </w:r>
    </w:p>
    <w:p>
      <w:pPr>
        <w:spacing w:line="360" w:lineRule="auto"/>
        <w:ind w:firstLine="420" w:firstLineChars="20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6.设施及管线数据库的建立；</w:t>
      </w:r>
    </w:p>
    <w:p>
      <w:pPr>
        <w:spacing w:line="360" w:lineRule="auto"/>
        <w:ind w:firstLine="420" w:firstLineChars="20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7.平面图的编绘；</w:t>
      </w:r>
    </w:p>
    <w:p>
      <w:pPr>
        <w:spacing w:line="360" w:lineRule="auto"/>
        <w:ind w:firstLine="420" w:firstLineChars="20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8.测绘成果检查、验收、入库、归档；</w:t>
      </w:r>
    </w:p>
    <w:p>
      <w:pPr>
        <w:spacing w:after="156" w:afterLines="50" w:line="520" w:lineRule="exac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第三条  执行技术标准：</w:t>
      </w:r>
    </w:p>
    <w:tbl>
      <w:tblPr>
        <w:tblStyle w:val="15"/>
        <w:tblW w:w="878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3544"/>
        <w:gridCol w:w="2409"/>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序号</w:t>
            </w:r>
          </w:p>
        </w:tc>
        <w:tc>
          <w:tcPr>
            <w:tcW w:w="3544"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标 准 名 称</w:t>
            </w:r>
          </w:p>
        </w:tc>
        <w:tc>
          <w:tcPr>
            <w:tcW w:w="2409"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标 准 代 号</w:t>
            </w:r>
          </w:p>
        </w:tc>
        <w:tc>
          <w:tcPr>
            <w:tcW w:w="1985"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标 准 级 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w:t>
            </w:r>
          </w:p>
        </w:tc>
        <w:tc>
          <w:tcPr>
            <w:tcW w:w="3544" w:type="dxa"/>
            <w:noWrap w:val="0"/>
            <w:vAlign w:val="center"/>
          </w:tcPr>
          <w:p>
            <w:pPr>
              <w:widowControl/>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《工程测量规范》</w:t>
            </w:r>
          </w:p>
        </w:tc>
        <w:tc>
          <w:tcPr>
            <w:tcW w:w="2409"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GB50026－2007</w:t>
            </w:r>
          </w:p>
        </w:tc>
        <w:tc>
          <w:tcPr>
            <w:tcW w:w="1985"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w:t>
            </w:r>
          </w:p>
        </w:tc>
        <w:tc>
          <w:tcPr>
            <w:tcW w:w="3544" w:type="dxa"/>
            <w:noWrap w:val="0"/>
            <w:vAlign w:val="center"/>
          </w:tcPr>
          <w:p>
            <w:pPr>
              <w:widowControl/>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《全球定位系统实时动态测量</w:t>
            </w:r>
          </w:p>
          <w:p>
            <w:pPr>
              <w:widowControl/>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（RTK）技术规范》</w:t>
            </w:r>
          </w:p>
        </w:tc>
        <w:tc>
          <w:tcPr>
            <w:tcW w:w="2409"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CH/T 2009-2010</w:t>
            </w:r>
          </w:p>
        </w:tc>
        <w:tc>
          <w:tcPr>
            <w:tcW w:w="1985"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p>
        </w:tc>
        <w:tc>
          <w:tcPr>
            <w:tcW w:w="3544"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《城市测绘规范》</w:t>
            </w:r>
          </w:p>
        </w:tc>
        <w:tc>
          <w:tcPr>
            <w:tcW w:w="2409"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CJJ/T 8-2011</w:t>
            </w:r>
          </w:p>
        </w:tc>
        <w:tc>
          <w:tcPr>
            <w:tcW w:w="1985"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建设部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w:t>
            </w:r>
          </w:p>
        </w:tc>
        <w:tc>
          <w:tcPr>
            <w:tcW w:w="3544"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《国家三、四等水准测量规范》 </w:t>
            </w:r>
          </w:p>
        </w:tc>
        <w:tc>
          <w:tcPr>
            <w:tcW w:w="2409"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GB/T 12898-2009</w:t>
            </w:r>
          </w:p>
        </w:tc>
        <w:tc>
          <w:tcPr>
            <w:tcW w:w="1985"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5</w:t>
            </w:r>
          </w:p>
        </w:tc>
        <w:tc>
          <w:tcPr>
            <w:tcW w:w="3544"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《地形图图式》</w:t>
            </w:r>
          </w:p>
        </w:tc>
        <w:tc>
          <w:tcPr>
            <w:tcW w:w="2409"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GB/T 20257.1-2007</w:t>
            </w:r>
          </w:p>
        </w:tc>
        <w:tc>
          <w:tcPr>
            <w:tcW w:w="1985"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国家质量技术</w:t>
            </w:r>
          </w:p>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监督局</w:t>
            </w:r>
          </w:p>
        </w:tc>
      </w:tr>
    </w:tbl>
    <w:p>
      <w:pPr>
        <w:spacing w:before="156" w:beforeLines="50" w:after="156" w:afterLines="50" w:line="520" w:lineRule="exac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第四条  测绘工程费：</w:t>
      </w:r>
    </w:p>
    <w:p>
      <w:pPr>
        <w:spacing w:before="312" w:beforeLines="100" w:line="60" w:lineRule="exac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br w:type="page"/>
      </w:r>
    </w:p>
    <w:tbl>
      <w:tblPr>
        <w:tblStyle w:val="15"/>
        <w:tblW w:w="0" w:type="auto"/>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1418"/>
        <w:gridCol w:w="1559"/>
        <w:gridCol w:w="1276"/>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br w:type="page"/>
            </w:r>
            <w:r>
              <w:rPr>
                <w:rFonts w:hint="eastAsia" w:ascii="宋体" w:hAnsi="宋体" w:eastAsia="宋体" w:cs="宋体"/>
                <w:color w:val="000000"/>
                <w:sz w:val="21"/>
                <w:szCs w:val="21"/>
              </w:rPr>
              <w:t>序号</w:t>
            </w:r>
          </w:p>
        </w:tc>
        <w:tc>
          <w:tcPr>
            <w:tcW w:w="226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 目 名 称</w:t>
            </w:r>
          </w:p>
        </w:tc>
        <w:tc>
          <w:tcPr>
            <w:tcW w:w="141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工作量</w:t>
            </w:r>
          </w:p>
        </w:tc>
        <w:tc>
          <w:tcPr>
            <w:tcW w:w="1559"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单价</w:t>
            </w:r>
          </w:p>
        </w:tc>
        <w:tc>
          <w:tcPr>
            <w:tcW w:w="1276"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小计（元）</w:t>
            </w: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268"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41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c>
          <w:tcPr>
            <w:tcW w:w="1559" w:type="dxa"/>
            <w:noWrap w:val="0"/>
            <w:tcMar>
              <w:top w:w="28" w:type="dxa"/>
              <w:left w:w="57" w:type="dxa"/>
              <w:bottom w:w="28" w:type="dxa"/>
              <w:right w:w="57" w:type="dxa"/>
            </w:tcMar>
            <w:vAlign w:val="center"/>
          </w:tcPr>
          <w:p>
            <w:pPr>
              <w:wordWrap w:val="0"/>
              <w:jc w:val="center"/>
              <w:rPr>
                <w:rFonts w:hint="eastAsia" w:ascii="宋体" w:hAnsi="宋体" w:eastAsia="宋体" w:cs="宋体"/>
                <w:color w:val="000000"/>
                <w:sz w:val="21"/>
                <w:szCs w:val="21"/>
              </w:rPr>
            </w:pPr>
          </w:p>
        </w:tc>
        <w:tc>
          <w:tcPr>
            <w:tcW w:w="1276" w:type="dxa"/>
            <w:noWrap w:val="0"/>
            <w:tcMar>
              <w:top w:w="28" w:type="dxa"/>
              <w:left w:w="57" w:type="dxa"/>
              <w:bottom w:w="28" w:type="dxa"/>
              <w:right w:w="113" w:type="dxa"/>
            </w:tcMar>
            <w:vAlign w:val="center"/>
          </w:tcPr>
          <w:p>
            <w:pPr>
              <w:jc w:val="right"/>
              <w:rPr>
                <w:rFonts w:hint="eastAsia" w:ascii="宋体" w:hAnsi="宋体" w:eastAsia="宋体" w:cs="宋体"/>
                <w:color w:val="000000"/>
                <w:sz w:val="21"/>
                <w:szCs w:val="21"/>
              </w:rPr>
            </w:pP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2268"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41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c>
          <w:tcPr>
            <w:tcW w:w="1559" w:type="dxa"/>
            <w:noWrap w:val="0"/>
            <w:tcMar>
              <w:top w:w="28" w:type="dxa"/>
              <w:left w:w="57" w:type="dxa"/>
              <w:bottom w:w="28" w:type="dxa"/>
              <w:right w:w="57" w:type="dxa"/>
            </w:tcMar>
            <w:vAlign w:val="center"/>
          </w:tcPr>
          <w:p>
            <w:pPr>
              <w:wordWrap w:val="0"/>
              <w:jc w:val="center"/>
              <w:rPr>
                <w:rFonts w:hint="eastAsia" w:ascii="宋体" w:hAnsi="宋体" w:eastAsia="宋体" w:cs="宋体"/>
                <w:color w:val="000000"/>
                <w:sz w:val="21"/>
                <w:szCs w:val="21"/>
              </w:rPr>
            </w:pPr>
          </w:p>
        </w:tc>
        <w:tc>
          <w:tcPr>
            <w:tcW w:w="1276" w:type="dxa"/>
            <w:noWrap w:val="0"/>
            <w:tcMar>
              <w:top w:w="28" w:type="dxa"/>
              <w:left w:w="57" w:type="dxa"/>
              <w:bottom w:w="28" w:type="dxa"/>
              <w:right w:w="113" w:type="dxa"/>
            </w:tcMar>
            <w:vAlign w:val="center"/>
          </w:tcPr>
          <w:p>
            <w:pPr>
              <w:jc w:val="right"/>
              <w:rPr>
                <w:rFonts w:hint="eastAsia" w:ascii="宋体" w:hAnsi="宋体" w:eastAsia="宋体" w:cs="宋体"/>
                <w:color w:val="000000"/>
                <w:sz w:val="21"/>
                <w:szCs w:val="21"/>
              </w:rPr>
            </w:pP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2268"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41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c>
          <w:tcPr>
            <w:tcW w:w="1559" w:type="dxa"/>
            <w:noWrap w:val="0"/>
            <w:tcMar>
              <w:top w:w="28" w:type="dxa"/>
              <w:left w:w="57" w:type="dxa"/>
              <w:bottom w:w="28" w:type="dxa"/>
              <w:right w:w="57" w:type="dxa"/>
            </w:tcMar>
            <w:vAlign w:val="center"/>
          </w:tcPr>
          <w:p>
            <w:pPr>
              <w:wordWrap w:val="0"/>
              <w:jc w:val="center"/>
              <w:rPr>
                <w:rFonts w:hint="eastAsia" w:ascii="宋体" w:hAnsi="宋体" w:eastAsia="宋体" w:cs="宋体"/>
                <w:color w:val="000000"/>
                <w:sz w:val="21"/>
                <w:szCs w:val="21"/>
              </w:rPr>
            </w:pPr>
          </w:p>
        </w:tc>
        <w:tc>
          <w:tcPr>
            <w:tcW w:w="1276" w:type="dxa"/>
            <w:noWrap w:val="0"/>
            <w:tcMar>
              <w:top w:w="28" w:type="dxa"/>
              <w:left w:w="57" w:type="dxa"/>
              <w:bottom w:w="28" w:type="dxa"/>
              <w:right w:w="113" w:type="dxa"/>
            </w:tcMar>
            <w:vAlign w:val="center"/>
          </w:tcPr>
          <w:p>
            <w:pPr>
              <w:jc w:val="right"/>
              <w:rPr>
                <w:rFonts w:hint="eastAsia" w:ascii="宋体" w:hAnsi="宋体" w:eastAsia="宋体" w:cs="宋体"/>
                <w:color w:val="000000"/>
                <w:sz w:val="21"/>
                <w:szCs w:val="21"/>
              </w:rPr>
            </w:pP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2268"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41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c>
          <w:tcPr>
            <w:tcW w:w="1559"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c>
          <w:tcPr>
            <w:tcW w:w="1276" w:type="dxa"/>
            <w:noWrap w:val="0"/>
            <w:tcMar>
              <w:top w:w="28" w:type="dxa"/>
              <w:left w:w="57" w:type="dxa"/>
              <w:bottom w:w="28" w:type="dxa"/>
              <w:right w:w="113" w:type="dxa"/>
            </w:tcMar>
            <w:vAlign w:val="center"/>
          </w:tcPr>
          <w:p>
            <w:pPr>
              <w:jc w:val="right"/>
              <w:rPr>
                <w:rFonts w:hint="eastAsia" w:ascii="宋体" w:hAnsi="宋体" w:eastAsia="宋体" w:cs="宋体"/>
                <w:color w:val="000000"/>
                <w:sz w:val="21"/>
                <w:szCs w:val="21"/>
              </w:rPr>
            </w:pP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2268"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41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c>
          <w:tcPr>
            <w:tcW w:w="1559"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c>
          <w:tcPr>
            <w:tcW w:w="1276" w:type="dxa"/>
            <w:noWrap w:val="0"/>
            <w:tcMar>
              <w:top w:w="28" w:type="dxa"/>
              <w:left w:w="57" w:type="dxa"/>
              <w:bottom w:w="28" w:type="dxa"/>
              <w:right w:w="113" w:type="dxa"/>
            </w:tcMar>
            <w:vAlign w:val="center"/>
          </w:tcPr>
          <w:p>
            <w:pPr>
              <w:jc w:val="right"/>
              <w:rPr>
                <w:rFonts w:hint="eastAsia" w:ascii="宋体" w:hAnsi="宋体" w:eastAsia="宋体" w:cs="宋体"/>
                <w:color w:val="000000"/>
                <w:sz w:val="21"/>
                <w:szCs w:val="21"/>
              </w:rPr>
            </w:pP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合计</w:t>
            </w:r>
          </w:p>
        </w:tc>
        <w:tc>
          <w:tcPr>
            <w:tcW w:w="2268"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418"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559"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c>
          <w:tcPr>
            <w:tcW w:w="1276" w:type="dxa"/>
            <w:noWrap w:val="0"/>
            <w:tcMar>
              <w:top w:w="28" w:type="dxa"/>
              <w:left w:w="57" w:type="dxa"/>
              <w:bottom w:w="28" w:type="dxa"/>
              <w:right w:w="113" w:type="dxa"/>
            </w:tcMar>
            <w:vAlign w:val="center"/>
          </w:tcPr>
          <w:p>
            <w:pPr>
              <w:jc w:val="right"/>
              <w:rPr>
                <w:rFonts w:hint="eastAsia" w:ascii="宋体" w:hAnsi="宋体" w:eastAsia="宋体" w:cs="宋体"/>
                <w:color w:val="000000"/>
                <w:sz w:val="21"/>
                <w:szCs w:val="21"/>
              </w:rPr>
            </w:pPr>
          </w:p>
        </w:tc>
        <w:tc>
          <w:tcPr>
            <w:tcW w:w="1417" w:type="dxa"/>
            <w:noWrap w:val="0"/>
            <w:tcMar>
              <w:top w:w="28" w:type="dxa"/>
              <w:left w:w="57" w:type="dxa"/>
              <w:bottom w:w="28" w:type="dxa"/>
              <w:right w:w="57" w:type="dxa"/>
            </w:tcMar>
            <w:vAlign w:val="center"/>
          </w:tcPr>
          <w:p>
            <w:pP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788" w:type="dxa"/>
            <w:gridSpan w:val="6"/>
            <w:noWrap w:val="0"/>
            <w:tcMar>
              <w:top w:w="28" w:type="dxa"/>
              <w:left w:w="57" w:type="dxa"/>
              <w:bottom w:w="28" w:type="dxa"/>
              <w:right w:w="57" w:type="dxa"/>
            </w:tcMar>
            <w:vAlign w:val="center"/>
          </w:tcPr>
          <w:p>
            <w:pPr>
              <w:ind w:firstLine="105" w:firstLineChars="50"/>
              <w:rPr>
                <w:rFonts w:hint="eastAsia" w:ascii="宋体" w:hAnsi="宋体" w:eastAsia="宋体" w:cs="宋体"/>
                <w:color w:val="000000"/>
                <w:sz w:val="21"/>
                <w:szCs w:val="21"/>
              </w:rPr>
            </w:pPr>
            <w:r>
              <w:rPr>
                <w:rFonts w:hint="eastAsia" w:ascii="宋体" w:hAnsi="宋体" w:eastAsia="宋体" w:cs="宋体"/>
                <w:color w:val="000000"/>
                <w:sz w:val="21"/>
                <w:szCs w:val="21"/>
              </w:rPr>
              <w:t>最终收费：</w:t>
            </w:r>
          </w:p>
        </w:tc>
      </w:tr>
    </w:tbl>
    <w:p>
      <w:pPr>
        <w:spacing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第五条  甲方的义务 </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1、应当保证乙方的测绘队伍顺利进入现场工作，并对乙方进场人员的工作提供必要的工作条件。 </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2、甲方确保工程款按时到位，以保证工程的顺利进行。 </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3、允许乙方内部使用执行本合同所生产的测绘成果。</w:t>
      </w:r>
    </w:p>
    <w:p>
      <w:pPr>
        <w:spacing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第六条  乙方的义务 </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1、乙方应当根据技术设计书要求确保测绘项目如期完成，并提交合格的测绘数据和成果资料且成果资料能满足政府有关部门的要求。</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2、允许甲方内部使用乙方为执行本合同所提供的属乙方所有的测绘成果。</w:t>
      </w:r>
    </w:p>
    <w:p>
      <w:pPr>
        <w:spacing w:line="520" w:lineRule="exact"/>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rPr>
        <w:t>3、未经甲方允许，乙方不得将本合同标的的全部或部分转包给第三方</w:t>
      </w:r>
      <w:r>
        <w:rPr>
          <w:rFonts w:hint="eastAsia" w:ascii="宋体" w:hAnsi="宋体" w:eastAsia="宋体" w:cs="宋体"/>
          <w:color w:val="000000"/>
          <w:sz w:val="21"/>
          <w:szCs w:val="21"/>
          <w:highlight w:val="none"/>
        </w:rPr>
        <w:t>。</w:t>
      </w:r>
    </w:p>
    <w:p>
      <w:pPr>
        <w:spacing w:after="156" w:afterLines="50" w:line="520" w:lineRule="exac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第七条  测绘项目完成工期</w:t>
      </w:r>
    </w:p>
    <w:tbl>
      <w:tblPr>
        <w:tblStyle w:val="1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4536"/>
        <w:gridCol w:w="1896"/>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序号</w:t>
            </w:r>
          </w:p>
        </w:tc>
        <w:tc>
          <w:tcPr>
            <w:tcW w:w="4536"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测 绘 项 目</w:t>
            </w:r>
          </w:p>
        </w:tc>
        <w:tc>
          <w:tcPr>
            <w:tcW w:w="1896"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完 成 时 间</w:t>
            </w:r>
          </w:p>
        </w:tc>
        <w:tc>
          <w:tcPr>
            <w:tcW w:w="1392"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w:t>
            </w:r>
          </w:p>
        </w:tc>
        <w:tc>
          <w:tcPr>
            <w:tcW w:w="4536" w:type="dxa"/>
            <w:noWrap w:val="0"/>
            <w:vAlign w:val="center"/>
          </w:tcPr>
          <w:p>
            <w:pPr>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已有资料收集和现状图调绘，探查前的技术准备工作</w:t>
            </w:r>
          </w:p>
        </w:tc>
        <w:tc>
          <w:tcPr>
            <w:tcW w:w="1896" w:type="dxa"/>
            <w:vMerge w:val="restart"/>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30日历天 </w:t>
            </w:r>
          </w:p>
        </w:tc>
        <w:tc>
          <w:tcPr>
            <w:tcW w:w="1392" w:type="dxa"/>
            <w:vMerge w:val="restart"/>
            <w:noWrap w:val="0"/>
            <w:vAlign w:val="center"/>
          </w:tcPr>
          <w:p>
            <w:pPr>
              <w:jc w:val="center"/>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w:t>
            </w:r>
          </w:p>
        </w:tc>
        <w:tc>
          <w:tcPr>
            <w:tcW w:w="4536" w:type="dxa"/>
            <w:noWrap w:val="0"/>
            <w:vAlign w:val="center"/>
          </w:tcPr>
          <w:p>
            <w:pP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探查方法试验及技术设计书编写</w:t>
            </w:r>
          </w:p>
        </w:tc>
        <w:tc>
          <w:tcPr>
            <w:tcW w:w="1896" w:type="dxa"/>
            <w:vMerge w:val="continue"/>
            <w:noWrap w:val="0"/>
            <w:vAlign w:val="center"/>
          </w:tcPr>
          <w:p>
            <w:pPr>
              <w:jc w:val="center"/>
              <w:rPr>
                <w:rFonts w:hint="eastAsia" w:ascii="宋体" w:hAnsi="宋体" w:eastAsia="宋体" w:cs="宋体"/>
                <w:color w:val="000000"/>
                <w:sz w:val="21"/>
                <w:szCs w:val="21"/>
                <w:highlight w:val="none"/>
              </w:rPr>
            </w:pPr>
          </w:p>
        </w:tc>
        <w:tc>
          <w:tcPr>
            <w:tcW w:w="1392" w:type="dxa"/>
            <w:vMerge w:val="continue"/>
            <w:noWrap w:val="0"/>
            <w:vAlign w:val="center"/>
          </w:tcPr>
          <w:p>
            <w:pPr>
              <w:jc w:val="center"/>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p>
        </w:tc>
        <w:tc>
          <w:tcPr>
            <w:tcW w:w="4536" w:type="dxa"/>
            <w:noWrap w:val="0"/>
            <w:vAlign w:val="center"/>
          </w:tcPr>
          <w:p>
            <w:pP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设施及管线实地调查</w:t>
            </w:r>
          </w:p>
        </w:tc>
        <w:tc>
          <w:tcPr>
            <w:tcW w:w="1896" w:type="dxa"/>
            <w:vMerge w:val="continue"/>
            <w:noWrap w:val="0"/>
            <w:vAlign w:val="center"/>
          </w:tcPr>
          <w:p>
            <w:pPr>
              <w:jc w:val="center"/>
              <w:rPr>
                <w:rFonts w:hint="eastAsia" w:ascii="宋体" w:hAnsi="宋体" w:eastAsia="宋体" w:cs="宋体"/>
                <w:color w:val="000000"/>
                <w:sz w:val="21"/>
                <w:szCs w:val="21"/>
                <w:highlight w:val="none"/>
              </w:rPr>
            </w:pPr>
          </w:p>
        </w:tc>
        <w:tc>
          <w:tcPr>
            <w:tcW w:w="1392" w:type="dxa"/>
            <w:vMerge w:val="continue"/>
            <w:noWrap w:val="0"/>
            <w:vAlign w:val="center"/>
          </w:tcPr>
          <w:p>
            <w:pPr>
              <w:jc w:val="center"/>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w:t>
            </w:r>
          </w:p>
        </w:tc>
        <w:tc>
          <w:tcPr>
            <w:tcW w:w="4536" w:type="dxa"/>
            <w:noWrap w:val="0"/>
            <w:vAlign w:val="center"/>
          </w:tcPr>
          <w:p>
            <w:pP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设施及管线探查</w:t>
            </w:r>
          </w:p>
        </w:tc>
        <w:tc>
          <w:tcPr>
            <w:tcW w:w="1896" w:type="dxa"/>
            <w:vMerge w:val="continue"/>
            <w:noWrap w:val="0"/>
            <w:vAlign w:val="center"/>
          </w:tcPr>
          <w:p>
            <w:pPr>
              <w:jc w:val="center"/>
              <w:rPr>
                <w:rFonts w:hint="eastAsia" w:ascii="宋体" w:hAnsi="宋体" w:eastAsia="宋体" w:cs="宋体"/>
                <w:color w:val="000000"/>
                <w:sz w:val="21"/>
                <w:szCs w:val="21"/>
                <w:highlight w:val="none"/>
              </w:rPr>
            </w:pPr>
          </w:p>
        </w:tc>
        <w:tc>
          <w:tcPr>
            <w:tcW w:w="1392" w:type="dxa"/>
            <w:vMerge w:val="continue"/>
            <w:noWrap w:val="0"/>
            <w:vAlign w:val="center"/>
          </w:tcPr>
          <w:p>
            <w:pPr>
              <w:jc w:val="center"/>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4536" w:type="dxa"/>
            <w:noWrap w:val="0"/>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设施及管线测量</w:t>
            </w:r>
          </w:p>
        </w:tc>
        <w:tc>
          <w:tcPr>
            <w:tcW w:w="1896" w:type="dxa"/>
            <w:vMerge w:val="continue"/>
            <w:noWrap w:val="0"/>
            <w:vAlign w:val="center"/>
          </w:tcPr>
          <w:p>
            <w:pPr>
              <w:jc w:val="center"/>
              <w:rPr>
                <w:rFonts w:hint="eastAsia" w:ascii="宋体" w:hAnsi="宋体" w:eastAsia="宋体" w:cs="宋体"/>
                <w:color w:val="000000"/>
                <w:sz w:val="21"/>
                <w:szCs w:val="21"/>
              </w:rPr>
            </w:pPr>
          </w:p>
        </w:tc>
        <w:tc>
          <w:tcPr>
            <w:tcW w:w="1392" w:type="dxa"/>
            <w:vMerge w:val="continue"/>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6</w:t>
            </w:r>
          </w:p>
        </w:tc>
        <w:tc>
          <w:tcPr>
            <w:tcW w:w="4536" w:type="dxa"/>
            <w:noWrap w:val="0"/>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设施及管线数据库的建立</w:t>
            </w:r>
          </w:p>
        </w:tc>
        <w:tc>
          <w:tcPr>
            <w:tcW w:w="1896" w:type="dxa"/>
            <w:vMerge w:val="continue"/>
            <w:noWrap w:val="0"/>
            <w:vAlign w:val="center"/>
          </w:tcPr>
          <w:p>
            <w:pPr>
              <w:jc w:val="center"/>
              <w:rPr>
                <w:rFonts w:hint="eastAsia" w:ascii="宋体" w:hAnsi="宋体" w:eastAsia="宋体" w:cs="宋体"/>
                <w:color w:val="000000"/>
                <w:sz w:val="21"/>
                <w:szCs w:val="21"/>
              </w:rPr>
            </w:pPr>
          </w:p>
        </w:tc>
        <w:tc>
          <w:tcPr>
            <w:tcW w:w="1392" w:type="dxa"/>
            <w:vMerge w:val="continue"/>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7</w:t>
            </w:r>
          </w:p>
        </w:tc>
        <w:tc>
          <w:tcPr>
            <w:tcW w:w="4536" w:type="dxa"/>
            <w:noWrap w:val="0"/>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平面图的编绘</w:t>
            </w:r>
          </w:p>
        </w:tc>
        <w:tc>
          <w:tcPr>
            <w:tcW w:w="1896" w:type="dxa"/>
            <w:vMerge w:val="continue"/>
            <w:noWrap w:val="0"/>
            <w:vAlign w:val="center"/>
          </w:tcPr>
          <w:p>
            <w:pPr>
              <w:jc w:val="center"/>
              <w:rPr>
                <w:rFonts w:hint="eastAsia" w:ascii="宋体" w:hAnsi="宋体" w:eastAsia="宋体" w:cs="宋体"/>
                <w:color w:val="000000"/>
                <w:sz w:val="21"/>
                <w:szCs w:val="21"/>
              </w:rPr>
            </w:pPr>
          </w:p>
        </w:tc>
        <w:tc>
          <w:tcPr>
            <w:tcW w:w="1392" w:type="dxa"/>
            <w:vMerge w:val="continue"/>
            <w:noWrap w:val="0"/>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8</w:t>
            </w:r>
          </w:p>
        </w:tc>
        <w:tc>
          <w:tcPr>
            <w:tcW w:w="4536" w:type="dxa"/>
            <w:noWrap w:val="0"/>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测绘成果检查、验收、入库、归档</w:t>
            </w:r>
          </w:p>
        </w:tc>
        <w:tc>
          <w:tcPr>
            <w:tcW w:w="1896" w:type="dxa"/>
            <w:vMerge w:val="continue"/>
            <w:noWrap w:val="0"/>
            <w:vAlign w:val="center"/>
          </w:tcPr>
          <w:p>
            <w:pPr>
              <w:jc w:val="center"/>
              <w:rPr>
                <w:rFonts w:hint="eastAsia" w:ascii="宋体" w:hAnsi="宋体" w:eastAsia="宋体" w:cs="宋体"/>
                <w:color w:val="000000"/>
                <w:sz w:val="21"/>
                <w:szCs w:val="21"/>
              </w:rPr>
            </w:pPr>
          </w:p>
        </w:tc>
        <w:tc>
          <w:tcPr>
            <w:tcW w:w="1392" w:type="dxa"/>
            <w:vMerge w:val="continue"/>
            <w:noWrap w:val="0"/>
            <w:vAlign w:val="center"/>
          </w:tcPr>
          <w:p>
            <w:pPr>
              <w:jc w:val="center"/>
              <w:rPr>
                <w:rFonts w:hint="eastAsia" w:ascii="宋体" w:hAnsi="宋体" w:eastAsia="宋体" w:cs="宋体"/>
                <w:color w:val="000000"/>
                <w:sz w:val="21"/>
                <w:szCs w:val="21"/>
              </w:rPr>
            </w:pPr>
          </w:p>
        </w:tc>
      </w:tr>
    </w:tbl>
    <w:p>
      <w:pPr>
        <w:spacing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第八条  测绘工程费支付日期和方式 </w:t>
      </w:r>
    </w:p>
    <w:p>
      <w:pPr>
        <w:spacing w:before="156" w:beforeLines="50" w:line="360" w:lineRule="auto"/>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乙方提交的全部测绘资料</w:t>
      </w:r>
      <w:r>
        <w:rPr>
          <w:rFonts w:hint="eastAsia" w:ascii="宋体" w:hAnsi="宋体" w:cs="宋体"/>
          <w:sz w:val="21"/>
          <w:szCs w:val="21"/>
          <w:highlight w:val="none"/>
          <w:lang w:val="en-US" w:eastAsia="zh-CN"/>
        </w:rPr>
        <w:t>通过审核，</w:t>
      </w:r>
      <w:r>
        <w:rPr>
          <w:rFonts w:hint="eastAsia" w:ascii="宋体" w:hAnsi="宋体" w:eastAsia="宋体" w:cs="宋体"/>
          <w:sz w:val="21"/>
          <w:szCs w:val="21"/>
          <w:highlight w:val="none"/>
        </w:rPr>
        <w:t>经甲方确认后</w:t>
      </w:r>
      <w:r>
        <w:rPr>
          <w:rFonts w:hint="eastAsia" w:ascii="宋体" w:hAnsi="宋体" w:cs="宋体"/>
          <w:sz w:val="21"/>
          <w:szCs w:val="21"/>
          <w:highlight w:val="none"/>
          <w:lang w:val="en-US" w:eastAsia="zh-CN"/>
        </w:rPr>
        <w:t>付至合同价的90%</w:t>
      </w: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余款待审计结束一次性付清</w:t>
      </w:r>
      <w:r>
        <w:rPr>
          <w:rFonts w:hint="eastAsia" w:ascii="宋体" w:hAnsi="宋体" w:eastAsia="宋体" w:cs="宋体"/>
          <w:sz w:val="21"/>
          <w:szCs w:val="21"/>
          <w:highlight w:val="none"/>
        </w:rPr>
        <w:t>。</w:t>
      </w:r>
    </w:p>
    <w:p>
      <w:pPr>
        <w:spacing w:before="156" w:beforeLines="50" w:line="320" w:lineRule="exact"/>
        <w:ind w:left="154" w:hanging="134" w:hangingChars="64"/>
        <w:rPr>
          <w:rFonts w:hint="eastAsia" w:ascii="宋体" w:hAnsi="宋体" w:eastAsia="宋体" w:cs="宋体"/>
          <w:color w:val="000000"/>
          <w:sz w:val="21"/>
          <w:szCs w:val="21"/>
        </w:rPr>
      </w:pPr>
      <w:r>
        <w:rPr>
          <w:rFonts w:hint="eastAsia" w:ascii="宋体" w:hAnsi="宋体" w:eastAsia="宋体" w:cs="宋体"/>
          <w:color w:val="000000"/>
          <w:sz w:val="21"/>
          <w:szCs w:val="21"/>
        </w:rPr>
        <w:t>第九条 甲方违约责任</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1、合同签订后，乙方进入现场工作由于甲方擅自终止合同时，甲方应按乙方实际完成的工作量支付乙方的工程款，另向乙方支付合同总价20%的违约金。 </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2、甲方未按期支付乙方工程费，应按延误天数和当时银行贷款利率，向乙方支付违约金。</w:t>
      </w:r>
    </w:p>
    <w:p>
      <w:pPr>
        <w:spacing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第十条 乙方违约责任</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1、乙方擅自中止测绘合同，乙方除退还甲方已付工程费用外，另向甲方支付合同总价20%的违约金。</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乙方提供的测绘成果质量不合格，乙方应负责无偿给予重测或采取补救措施，以达到质量要求，并按合同分项价款承担由于自己过失给甲方造成的损失。由于甲方提供的图纸资料原因产生的责任由甲方自己负责。</w:t>
      </w:r>
    </w:p>
    <w:p>
      <w:pPr>
        <w:spacing w:after="156" w:afterLines="50" w:line="520" w:lineRule="exact"/>
        <w:ind w:left="154" w:hanging="134" w:hangingChars="64"/>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第十一条 提交资料</w:t>
      </w:r>
    </w:p>
    <w:tbl>
      <w:tblPr>
        <w:tblStyle w:val="15"/>
        <w:tblW w:w="4719" w:type="pct"/>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2"/>
        <w:gridCol w:w="4079"/>
        <w:gridCol w:w="1126"/>
        <w:gridCol w:w="1124"/>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3"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2290"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成 果 名 称</w:t>
            </w:r>
          </w:p>
        </w:tc>
        <w:tc>
          <w:tcPr>
            <w:tcW w:w="632"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规格</w:t>
            </w:r>
          </w:p>
        </w:tc>
        <w:tc>
          <w:tcPr>
            <w:tcW w:w="631"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数量</w:t>
            </w:r>
          </w:p>
        </w:tc>
        <w:tc>
          <w:tcPr>
            <w:tcW w:w="974"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3"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290" w:type="pct"/>
            <w:noWrap w:val="0"/>
            <w:vAlign w:val="center"/>
          </w:tcPr>
          <w:p>
            <w:pPr>
              <w:spacing w:line="400" w:lineRule="exact"/>
              <w:jc w:val="center"/>
              <w:rPr>
                <w:rFonts w:hint="eastAsia" w:ascii="宋体" w:hAnsi="宋体" w:eastAsia="宋体" w:cs="宋体"/>
                <w:color w:val="000000"/>
                <w:sz w:val="21"/>
                <w:szCs w:val="21"/>
              </w:rPr>
            </w:pPr>
          </w:p>
        </w:tc>
        <w:tc>
          <w:tcPr>
            <w:tcW w:w="632" w:type="pct"/>
            <w:noWrap w:val="0"/>
            <w:vAlign w:val="center"/>
          </w:tcPr>
          <w:p>
            <w:pPr>
              <w:spacing w:line="400" w:lineRule="exact"/>
              <w:jc w:val="center"/>
              <w:rPr>
                <w:rFonts w:hint="eastAsia" w:ascii="宋体" w:hAnsi="宋体" w:eastAsia="宋体" w:cs="宋体"/>
                <w:color w:val="000000"/>
                <w:sz w:val="21"/>
                <w:szCs w:val="21"/>
              </w:rPr>
            </w:pPr>
          </w:p>
        </w:tc>
        <w:tc>
          <w:tcPr>
            <w:tcW w:w="631" w:type="pct"/>
            <w:noWrap w:val="0"/>
            <w:vAlign w:val="center"/>
          </w:tcPr>
          <w:p>
            <w:pPr>
              <w:spacing w:line="400" w:lineRule="exact"/>
              <w:jc w:val="center"/>
              <w:rPr>
                <w:rFonts w:hint="eastAsia" w:ascii="宋体" w:hAnsi="宋体" w:eastAsia="宋体" w:cs="宋体"/>
                <w:color w:val="000000"/>
                <w:sz w:val="21"/>
                <w:szCs w:val="21"/>
              </w:rPr>
            </w:pPr>
          </w:p>
        </w:tc>
        <w:tc>
          <w:tcPr>
            <w:tcW w:w="974"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Dwg格式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473" w:type="pct"/>
            <w:noWrap w:val="0"/>
            <w:vAlign w:val="center"/>
          </w:tcPr>
          <w:p>
            <w:pPr>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2290" w:type="pct"/>
            <w:noWrap w:val="0"/>
            <w:vAlign w:val="center"/>
          </w:tcPr>
          <w:p>
            <w:pPr>
              <w:spacing w:line="400" w:lineRule="exact"/>
              <w:jc w:val="left"/>
              <w:rPr>
                <w:rFonts w:hint="eastAsia" w:ascii="宋体" w:hAnsi="宋体" w:eastAsia="宋体" w:cs="宋体"/>
                <w:color w:val="000000"/>
                <w:sz w:val="21"/>
                <w:szCs w:val="21"/>
              </w:rPr>
            </w:pPr>
          </w:p>
        </w:tc>
        <w:tc>
          <w:tcPr>
            <w:tcW w:w="632" w:type="pct"/>
            <w:noWrap w:val="0"/>
            <w:vAlign w:val="center"/>
          </w:tcPr>
          <w:p>
            <w:pPr>
              <w:spacing w:line="400" w:lineRule="exact"/>
              <w:jc w:val="center"/>
              <w:rPr>
                <w:rFonts w:hint="eastAsia" w:ascii="宋体" w:hAnsi="宋体" w:eastAsia="宋体" w:cs="宋体"/>
                <w:color w:val="000000"/>
                <w:sz w:val="21"/>
                <w:szCs w:val="21"/>
              </w:rPr>
            </w:pPr>
          </w:p>
        </w:tc>
        <w:tc>
          <w:tcPr>
            <w:tcW w:w="631" w:type="pct"/>
            <w:noWrap w:val="0"/>
            <w:vAlign w:val="center"/>
          </w:tcPr>
          <w:p>
            <w:pPr>
              <w:spacing w:line="400" w:lineRule="exact"/>
              <w:jc w:val="center"/>
              <w:rPr>
                <w:rFonts w:hint="eastAsia" w:ascii="宋体" w:hAnsi="宋体" w:eastAsia="宋体" w:cs="宋体"/>
                <w:color w:val="000000"/>
                <w:sz w:val="21"/>
                <w:szCs w:val="21"/>
              </w:rPr>
            </w:pPr>
          </w:p>
        </w:tc>
        <w:tc>
          <w:tcPr>
            <w:tcW w:w="974" w:type="pct"/>
            <w:noWrap w:val="0"/>
            <w:vAlign w:val="center"/>
          </w:tcPr>
          <w:p>
            <w:pPr>
              <w:spacing w:line="400" w:lineRule="exact"/>
              <w:jc w:val="center"/>
              <w:rPr>
                <w:rFonts w:hint="eastAsia" w:ascii="宋体" w:hAnsi="宋体" w:eastAsia="宋体" w:cs="宋体"/>
                <w:color w:val="000000"/>
                <w:sz w:val="21"/>
                <w:szCs w:val="21"/>
              </w:rPr>
            </w:pPr>
          </w:p>
        </w:tc>
      </w:tr>
    </w:tbl>
    <w:p>
      <w:pPr>
        <w:spacing w:line="520" w:lineRule="exact"/>
        <w:ind w:left="154" w:hanging="134" w:hangingChars="64"/>
        <w:rPr>
          <w:rFonts w:hint="eastAsia" w:ascii="宋体" w:hAnsi="宋体" w:eastAsia="宋体" w:cs="宋体"/>
          <w:color w:val="000000"/>
          <w:sz w:val="21"/>
          <w:szCs w:val="21"/>
        </w:rPr>
      </w:pPr>
      <w:r>
        <w:rPr>
          <w:rFonts w:hint="eastAsia" w:ascii="宋体" w:hAnsi="宋体" w:eastAsia="宋体" w:cs="宋体"/>
          <w:color w:val="000000"/>
          <w:sz w:val="21"/>
          <w:szCs w:val="21"/>
        </w:rPr>
        <w:t>第十二条 由于不可抗力，致使合同无法履行时，双方应按有关法律规定及时协商处理。</w:t>
      </w:r>
    </w:p>
    <w:p>
      <w:pPr>
        <w:spacing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第十三条 本合同执行过程中的未尽事宜，双方应本着实事求是、友好协商的态度加以解决。双方协商一致的，签订补充协议。补充协议与本合同具有同等效力。</w:t>
      </w:r>
    </w:p>
    <w:p>
      <w:pPr>
        <w:spacing w:line="52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第十四条  因本合同发生争议，由双方当事人协商解决或由双方主管部门调解，协商或调解不成的，当事人双方同意</w:t>
      </w:r>
      <w:r>
        <w:rPr>
          <w:rFonts w:hint="eastAsia" w:ascii="宋体" w:hAnsi="宋体" w:eastAsia="宋体" w:cs="宋体"/>
          <w:color w:val="000000"/>
          <w:sz w:val="21"/>
          <w:szCs w:val="21"/>
          <w:u w:val="single"/>
        </w:rPr>
        <w:t xml:space="preserve">　南通市 </w:t>
      </w:r>
      <w:r>
        <w:rPr>
          <w:rFonts w:hint="eastAsia" w:ascii="宋体" w:hAnsi="宋体" w:eastAsia="宋体" w:cs="宋体"/>
          <w:color w:val="000000"/>
          <w:sz w:val="21"/>
          <w:szCs w:val="21"/>
        </w:rPr>
        <w:t>仲裁委员会仲裁（当事人双方未在合同中约定仲裁机构，事后又未达成书面仲裁协议的，可向人民法院起诉）。</w:t>
      </w:r>
    </w:p>
    <w:p>
      <w:pPr>
        <w:spacing w:line="40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第十五条  附 则</w:t>
      </w:r>
    </w:p>
    <w:p>
      <w:pPr>
        <w:pStyle w:val="6"/>
        <w:spacing w:line="52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1、本合同由双方代表签字，加盖双方公章或合同专用章即生效。全部成果交接完毕和测绘工程费结算完成后，本合同终止。</w:t>
      </w:r>
    </w:p>
    <w:p>
      <w:pPr>
        <w:spacing w:after="156" w:afterLines="50"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2、本合同一式</w:t>
      </w:r>
      <w:r>
        <w:rPr>
          <w:rFonts w:hint="eastAsia" w:ascii="宋体" w:hAnsi="宋体" w:eastAsia="宋体" w:cs="宋体"/>
          <w:color w:val="000000"/>
          <w:sz w:val="21"/>
          <w:szCs w:val="21"/>
          <w:u w:val="single"/>
        </w:rPr>
        <w:t xml:space="preserve"> 肆  </w:t>
      </w:r>
      <w:r>
        <w:rPr>
          <w:rFonts w:hint="eastAsia" w:ascii="宋体" w:hAnsi="宋体" w:eastAsia="宋体" w:cs="宋体"/>
          <w:color w:val="000000"/>
          <w:sz w:val="21"/>
          <w:szCs w:val="21"/>
        </w:rPr>
        <w:t>份，甲方执</w:t>
      </w:r>
      <w:r>
        <w:rPr>
          <w:rFonts w:hint="eastAsia" w:ascii="宋体" w:hAnsi="宋体" w:eastAsia="宋体" w:cs="宋体"/>
          <w:color w:val="000000"/>
          <w:sz w:val="21"/>
          <w:szCs w:val="21"/>
          <w:u w:val="single"/>
        </w:rPr>
        <w:t xml:space="preserve">　贰  </w:t>
      </w:r>
      <w:r>
        <w:rPr>
          <w:rFonts w:hint="eastAsia" w:ascii="宋体" w:hAnsi="宋体" w:eastAsia="宋体" w:cs="宋体"/>
          <w:color w:val="000000"/>
          <w:sz w:val="21"/>
          <w:szCs w:val="21"/>
        </w:rPr>
        <w:t>份，乙方执</w:t>
      </w:r>
      <w:r>
        <w:rPr>
          <w:rFonts w:hint="eastAsia" w:ascii="宋体" w:hAnsi="宋体" w:eastAsia="宋体" w:cs="宋体"/>
          <w:color w:val="000000"/>
          <w:sz w:val="21"/>
          <w:szCs w:val="21"/>
          <w:u w:val="single"/>
        </w:rPr>
        <w:t xml:space="preserve">　贰  </w:t>
      </w:r>
      <w:r>
        <w:rPr>
          <w:rFonts w:hint="eastAsia" w:ascii="宋体" w:hAnsi="宋体" w:eastAsia="宋体" w:cs="宋体"/>
          <w:color w:val="000000"/>
          <w:sz w:val="21"/>
          <w:szCs w:val="21"/>
        </w:rPr>
        <w:t>份。</w:t>
      </w:r>
    </w:p>
    <w:p>
      <w:pPr>
        <w:spacing w:after="156" w:afterLines="50" w:line="520" w:lineRule="exact"/>
        <w:ind w:firstLine="420" w:firstLineChars="200"/>
        <w:rPr>
          <w:rFonts w:hint="eastAsia" w:ascii="宋体" w:hAnsi="宋体" w:eastAsia="宋体" w:cs="宋体"/>
          <w:color w:val="000000"/>
          <w:sz w:val="21"/>
          <w:szCs w:val="21"/>
        </w:rPr>
      </w:pPr>
    </w:p>
    <w:p>
      <w:pPr>
        <w:spacing w:after="156" w:afterLines="50" w:line="520" w:lineRule="exact"/>
        <w:ind w:firstLine="420" w:firstLineChars="200"/>
        <w:rPr>
          <w:rFonts w:hint="eastAsia" w:ascii="宋体" w:hAnsi="宋体" w:eastAsia="宋体" w:cs="宋体"/>
          <w:color w:val="000000"/>
          <w:sz w:val="21"/>
          <w:szCs w:val="21"/>
        </w:rPr>
      </w:pPr>
    </w:p>
    <w:p>
      <w:pPr>
        <w:spacing w:line="720" w:lineRule="auto"/>
        <w:rPr>
          <w:rFonts w:hint="eastAsia" w:ascii="宋体" w:hAnsi="宋体" w:eastAsia="宋体" w:cs="宋体"/>
          <w:color w:val="000000"/>
          <w:sz w:val="21"/>
          <w:szCs w:val="21"/>
        </w:rPr>
      </w:pPr>
      <w:r>
        <w:rPr>
          <w:rFonts w:hint="eastAsia" w:ascii="宋体" w:hAnsi="宋体" w:eastAsia="宋体" w:cs="宋体"/>
          <w:color w:val="000000"/>
          <w:sz w:val="21"/>
          <w:szCs w:val="21"/>
        </w:rPr>
        <w:t>定作人名称（盖章）：　　　　　　      　　 承揽人名称（盖章）：</w:t>
      </w:r>
    </w:p>
    <w:p>
      <w:pPr>
        <w:spacing w:line="720" w:lineRule="auto"/>
        <w:rPr>
          <w:rFonts w:hint="eastAsia" w:ascii="宋体" w:hAnsi="宋体" w:eastAsia="宋体" w:cs="宋体"/>
          <w:color w:val="000000"/>
          <w:sz w:val="21"/>
          <w:szCs w:val="21"/>
        </w:rPr>
      </w:pPr>
      <w:r>
        <w:rPr>
          <w:rFonts w:hint="eastAsia" w:ascii="宋体" w:hAnsi="宋体" w:eastAsia="宋体" w:cs="宋体"/>
          <w:color w:val="000000"/>
          <w:sz w:val="21"/>
          <w:szCs w:val="21"/>
        </w:rPr>
        <w:t>法定代表人或　　　　　　　　　　　　      法定代表人或</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委托代理人（签字或盖章）：　　　　　　 　  委托代理人（签字或盖章）：</w:t>
      </w:r>
    </w:p>
    <w:p>
      <w:pPr>
        <w:spacing w:line="360" w:lineRule="auto"/>
        <w:rPr>
          <w:rFonts w:hint="eastAsia" w:ascii="宋体" w:hAnsi="宋体" w:eastAsia="宋体" w:cs="宋体"/>
          <w:color w:val="000000"/>
          <w:sz w:val="21"/>
          <w:szCs w:val="21"/>
        </w:rPr>
      </w:pPr>
    </w:p>
    <w:p>
      <w:pPr>
        <w:spacing w:line="440" w:lineRule="exact"/>
        <w:rPr>
          <w:rFonts w:hint="eastAsia" w:ascii="宋体" w:hAnsi="宋体" w:eastAsia="宋体" w:cs="宋体"/>
          <w:color w:val="auto"/>
          <w:sz w:val="21"/>
          <w:szCs w:val="21"/>
          <w:highlight w:val="none"/>
          <w:u w:val="single"/>
        </w:rPr>
      </w:pPr>
      <w:r>
        <w:rPr>
          <w:rFonts w:hint="eastAsia" w:ascii="宋体" w:hAnsi="宋体" w:eastAsia="宋体" w:cs="宋体"/>
          <w:color w:val="000000"/>
          <w:sz w:val="21"/>
          <w:szCs w:val="21"/>
        </w:rPr>
        <w:t>时    间：                                时    间：</w:t>
      </w:r>
    </w:p>
    <w:p>
      <w:pPr>
        <w:rPr>
          <w:rFonts w:ascii="Times New Roman" w:hAnsi="Times New Roman"/>
          <w:b/>
          <w:color w:val="auto"/>
          <w:sz w:val="21"/>
          <w:szCs w:val="21"/>
          <w:highlight w:val="none"/>
        </w:rPr>
      </w:pPr>
      <w:r>
        <w:rPr>
          <w:rFonts w:ascii="Times New Roman" w:hAnsi="Times New Roman"/>
          <w:b/>
          <w:color w:val="auto"/>
          <w:sz w:val="21"/>
          <w:szCs w:val="21"/>
          <w:highlight w:val="none"/>
        </w:rPr>
        <w:br w:type="page"/>
      </w:r>
    </w:p>
    <w:p>
      <w:pPr>
        <w:keepNext/>
        <w:keepLines/>
        <w:spacing w:before="120" w:after="120" w:line="360" w:lineRule="auto"/>
        <w:jc w:val="center"/>
        <w:outlineLvl w:val="0"/>
        <w:rPr>
          <w:rFonts w:ascii="Times New Roman" w:hAnsi="Times New Roman"/>
          <w:b/>
          <w:color w:val="auto"/>
          <w:sz w:val="36"/>
          <w:szCs w:val="36"/>
          <w:highlight w:val="none"/>
        </w:rPr>
      </w:pPr>
      <w:r>
        <w:rPr>
          <w:rFonts w:ascii="Times New Roman" w:hAnsi="Times New Roman"/>
          <w:b/>
          <w:color w:val="auto"/>
          <w:sz w:val="36"/>
          <w:szCs w:val="36"/>
          <w:highlight w:val="none"/>
        </w:rPr>
        <w:t>第五章项目需求</w:t>
      </w:r>
    </w:p>
    <w:p>
      <w:pPr>
        <w:adjustRightInd w:val="0"/>
        <w:snapToGrid w:val="0"/>
        <w:spacing w:line="360" w:lineRule="auto"/>
        <w:rPr>
          <w:rFonts w:hint="eastAsia" w:ascii="宋体" w:hAnsi="宋体" w:eastAsia="宋体" w:cs="宋体"/>
          <w:b/>
          <w:sz w:val="21"/>
          <w:szCs w:val="21"/>
        </w:rPr>
      </w:pPr>
      <w:r>
        <w:rPr>
          <w:rFonts w:hint="eastAsia" w:ascii="宋体" w:hAnsi="宋体" w:eastAsia="宋体" w:cs="宋体"/>
          <w:b/>
          <w:sz w:val="21"/>
          <w:szCs w:val="21"/>
        </w:rPr>
        <w:t>一、测绘内容</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本项目为创新区通沪大道以北区域的GIS系统数据外业测绘，包含且不仅包含该区域内路灯、路灯管线、变压器、变电室、环网柜、分支箱、人孔井、手孔井等设施的测绘工作，测绘工作包含以下内容：</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1.已有资料收集和现状图调绘，探查前的技术准备工作；</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2.探查方法试验及技术设计书编写；</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3.设施及管线实地调查；</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4.设施及管线探查；</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5.设施及管线测量；</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6.设施及管线数据库的建立；</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7.平面图的编绘；</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8.测绘成果检查、验收、入库、归档；</w:t>
      </w:r>
    </w:p>
    <w:p>
      <w:pPr>
        <w:adjustRightInd w:val="0"/>
        <w:snapToGrid w:val="0"/>
        <w:spacing w:line="360" w:lineRule="auto"/>
        <w:rPr>
          <w:rFonts w:hint="eastAsia" w:ascii="宋体" w:hAnsi="宋体" w:eastAsia="宋体" w:cs="宋体"/>
          <w:b/>
          <w:sz w:val="21"/>
          <w:szCs w:val="21"/>
        </w:rPr>
      </w:pPr>
      <w:r>
        <w:rPr>
          <w:rFonts w:hint="eastAsia" w:ascii="宋体" w:hAnsi="宋体" w:eastAsia="宋体" w:cs="宋体"/>
          <w:b/>
          <w:sz w:val="21"/>
          <w:szCs w:val="21"/>
        </w:rPr>
        <w:t>二、主要技术指标与规格</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 数学基础</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（1）坐标系统：1994年南通城市坐标系，建立与CGCS2000的转换关系。</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（2）高程系统：1985国家高程基准。</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（3）基本比例尺：1：500。</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 探测精度</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（1）平面位置中误差不得大于±5cm（相对于邻近控制点），高程中误差不得大于±3cm（相对于邻近控制点）。</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（2）地下管线与实测路边线及相邻管线的间距中误差不得大于图上±0.5mm。</w:t>
      </w:r>
    </w:p>
    <w:tbl>
      <w:tblPr>
        <w:tblStyle w:val="15"/>
        <w:tblW w:w="0" w:type="auto"/>
        <w:tblInd w:w="5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0"/>
        <w:gridCol w:w="2625"/>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0" w:type="dxa"/>
          </w:tcPr>
          <w:p>
            <w:pPr>
              <w:pStyle w:val="46"/>
              <w:spacing w:line="360" w:lineRule="auto"/>
              <w:ind w:left="0" w:firstLine="420" w:firstLineChars="200"/>
              <w:rPr>
                <w:rFonts w:hint="eastAsia" w:ascii="宋体" w:hAnsi="宋体" w:eastAsia="宋体" w:cs="宋体"/>
                <w:sz w:val="21"/>
                <w:szCs w:val="21"/>
              </w:rPr>
            </w:pPr>
            <w:r>
              <w:rPr>
                <w:rFonts w:hint="eastAsia" w:ascii="宋体" w:hAnsi="宋体" w:eastAsia="宋体" w:cs="宋体"/>
                <w:sz w:val="21"/>
                <w:szCs w:val="21"/>
              </w:rPr>
              <w:t>管线中心埋深（cm）</w:t>
            </w:r>
          </w:p>
        </w:tc>
        <w:tc>
          <w:tcPr>
            <w:tcW w:w="2625" w:type="dxa"/>
          </w:tcPr>
          <w:p>
            <w:pPr>
              <w:pStyle w:val="46"/>
              <w:spacing w:line="360" w:lineRule="auto"/>
              <w:ind w:left="0" w:firstLine="420" w:firstLineChars="200"/>
              <w:rPr>
                <w:rFonts w:hint="eastAsia" w:ascii="宋体" w:hAnsi="宋体" w:eastAsia="宋体" w:cs="宋体"/>
                <w:sz w:val="21"/>
                <w:szCs w:val="21"/>
              </w:rPr>
            </w:pPr>
            <w:r>
              <w:rPr>
                <w:rFonts w:hint="eastAsia" w:ascii="宋体" w:hAnsi="宋体" w:eastAsia="宋体" w:cs="宋体"/>
                <w:sz w:val="21"/>
                <w:szCs w:val="21"/>
              </w:rPr>
              <w:t>水平位置限差（cm）</w:t>
            </w:r>
          </w:p>
        </w:tc>
        <w:tc>
          <w:tcPr>
            <w:tcW w:w="2205" w:type="dxa"/>
          </w:tcPr>
          <w:p>
            <w:pPr>
              <w:pStyle w:val="46"/>
              <w:spacing w:line="360" w:lineRule="auto"/>
              <w:ind w:left="0" w:firstLine="420" w:firstLineChars="200"/>
              <w:rPr>
                <w:rFonts w:hint="eastAsia" w:ascii="宋体" w:hAnsi="宋体" w:eastAsia="宋体" w:cs="宋体"/>
                <w:sz w:val="21"/>
                <w:szCs w:val="21"/>
              </w:rPr>
            </w:pPr>
            <w:r>
              <w:rPr>
                <w:rFonts w:hint="eastAsia" w:ascii="宋体" w:hAnsi="宋体" w:eastAsia="宋体" w:cs="宋体"/>
                <w:sz w:val="21"/>
                <w:szCs w:val="21"/>
              </w:rPr>
              <w:t>埋深限差（cm）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0" w:type="dxa"/>
            <w:vAlign w:val="center"/>
          </w:tcPr>
          <w:p>
            <w:pPr>
              <w:pStyle w:val="47"/>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 h≤100</w:t>
            </w:r>
          </w:p>
        </w:tc>
        <w:tc>
          <w:tcPr>
            <w:tcW w:w="2625" w:type="dxa"/>
            <w:vAlign w:val="center"/>
          </w:tcPr>
          <w:p>
            <w:pPr>
              <w:pStyle w:val="47"/>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±10</w:t>
            </w:r>
          </w:p>
        </w:tc>
        <w:tc>
          <w:tcPr>
            <w:tcW w:w="2205" w:type="dxa"/>
            <w:vAlign w:val="center"/>
          </w:tcPr>
          <w:p>
            <w:pPr>
              <w:pStyle w:val="47"/>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70" w:type="dxa"/>
            <w:vAlign w:val="center"/>
          </w:tcPr>
          <w:p>
            <w:pPr>
              <w:pStyle w:val="47"/>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h&gt;100</w:t>
            </w:r>
          </w:p>
        </w:tc>
        <w:tc>
          <w:tcPr>
            <w:tcW w:w="2625" w:type="dxa"/>
            <w:vAlign w:val="center"/>
          </w:tcPr>
          <w:p>
            <w:pPr>
              <w:pStyle w:val="47"/>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±0.10 h</w:t>
            </w:r>
          </w:p>
        </w:tc>
        <w:tc>
          <w:tcPr>
            <w:tcW w:w="2205" w:type="dxa"/>
            <w:vAlign w:val="center"/>
          </w:tcPr>
          <w:p>
            <w:pPr>
              <w:pStyle w:val="47"/>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±0.15 h</w:t>
            </w:r>
          </w:p>
        </w:tc>
      </w:tr>
    </w:tbl>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 计量单位</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（1）坐标单位采用米（m），保留三位小数。</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（2）高程单位采用米（m），保留两位小数。</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（3）埋深单位采用米（m），保留两位小数。</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（4）长度单位采用米（m），保留两位小数。</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（5）管径单位采用毫米（mm），保留整数。</w:t>
      </w:r>
    </w:p>
    <w:p>
      <w:pPr>
        <w:adjustRightInd w:val="0"/>
        <w:snapToGrid w:val="0"/>
        <w:spacing w:line="360" w:lineRule="auto"/>
        <w:ind w:firstLine="420" w:firstLineChars="200"/>
        <w:rPr>
          <w:rFonts w:hint="eastAsia" w:ascii="宋体" w:hAnsi="宋体" w:eastAsia="宋体" w:cs="宋体"/>
          <w:sz w:val="21"/>
          <w:szCs w:val="21"/>
        </w:rPr>
      </w:pPr>
    </w:p>
    <w:p>
      <w:pPr>
        <w:adjustRightInd w:val="0"/>
        <w:snapToGrid w:val="0"/>
        <w:spacing w:line="360" w:lineRule="auto"/>
        <w:rPr>
          <w:rFonts w:hint="eastAsia" w:ascii="宋体" w:hAnsi="宋体" w:eastAsia="宋体" w:cs="宋体"/>
          <w:b/>
          <w:sz w:val="21"/>
          <w:szCs w:val="21"/>
        </w:rPr>
      </w:pPr>
      <w:r>
        <w:rPr>
          <w:rFonts w:hint="eastAsia" w:ascii="宋体" w:hAnsi="宋体" w:eastAsia="宋体" w:cs="宋体"/>
          <w:b/>
          <w:sz w:val="21"/>
          <w:szCs w:val="21"/>
        </w:rPr>
        <w:t>三、数据成果提交及入库要求</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相关数据成果参照《城市地下管线探测技术规程》（CJJ61-2017）及《南通市地下管线探测技术规程》（南通市规划局2014年颁布）等规范、规程，需满足南通市资规局的入库要求，同时满足南通市照明设施管理处的管理平台的接入要求。</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1.地下管线探测单位使用的电子记录手簿及成图软件可自行选定，但提供的数据文件必须符合本章规定的要求，并以光盘介质提交。</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 探测成果以测区或专业管线为单位，提交各类计算机数据文件。</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提交数据成果时，与其它测区相连的探测点，应在连接方向栏填写相邻测区的连接点物探点号。在相邻测区管线探测完成后，各测区之间必须进行接边（测区连接）处理，消除数据矛盾，实现测区之间的数据准确连接，以便在整个城市范围内建立一个完整的地下管线数据库。</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4.探测单位提交的计算机数据文件包括两类：以*.mdb格式存贮的数据库文件和以*.dwg格式存储的图形文件。数据格式要求与MS Access 2003或以上版本兼容。</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5.数据库文件以测区为单位提交，命名方式为：xx.mdb XX为测区号。xx.mdb文件包括管线点属性表和管线线段表，按不同管类分别成表，同时也用于存贮测区描述信息表。表命名如下表所列，数据结构参见相关条款。</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1427"/>
        <w:gridCol w:w="4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1316"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 xml:space="preserve"> 表  名</w:t>
            </w:r>
          </w:p>
        </w:tc>
        <w:tc>
          <w:tcPr>
            <w:tcW w:w="1427"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管  类</w:t>
            </w:r>
          </w:p>
        </w:tc>
        <w:tc>
          <w:tcPr>
            <w:tcW w:w="4126"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blHeader/>
          <w:jc w:val="center"/>
        </w:trPr>
        <w:tc>
          <w:tcPr>
            <w:tcW w:w="1316" w:type="dxa"/>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AREA</w:t>
            </w:r>
          </w:p>
        </w:tc>
        <w:tc>
          <w:tcPr>
            <w:tcW w:w="1427" w:type="dxa"/>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测区信息</w:t>
            </w:r>
          </w:p>
        </w:tc>
        <w:tc>
          <w:tcPr>
            <w:tcW w:w="4126" w:type="dxa"/>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测区探测作业基本资料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blHeader/>
          <w:jc w:val="center"/>
        </w:trPr>
        <w:tc>
          <w:tcPr>
            <w:tcW w:w="1316" w:type="dxa"/>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LDLINE</w:t>
            </w:r>
          </w:p>
        </w:tc>
        <w:tc>
          <w:tcPr>
            <w:tcW w:w="1427" w:type="dxa"/>
            <w:vMerge w:val="restart"/>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路   灯</w:t>
            </w:r>
          </w:p>
        </w:tc>
        <w:tc>
          <w:tcPr>
            <w:tcW w:w="4126" w:type="dxa"/>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blHeader/>
          <w:jc w:val="center"/>
        </w:trPr>
        <w:tc>
          <w:tcPr>
            <w:tcW w:w="1316" w:type="dxa"/>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LDPOINT</w:t>
            </w:r>
          </w:p>
        </w:tc>
        <w:tc>
          <w:tcPr>
            <w:tcW w:w="1427" w:type="dxa"/>
            <w:vMerge w:val="continue"/>
            <w:vAlign w:val="center"/>
          </w:tcPr>
          <w:p>
            <w:pPr>
              <w:pStyle w:val="46"/>
              <w:spacing w:line="360" w:lineRule="auto"/>
              <w:ind w:left="0" w:firstLine="0" w:firstLineChars="0"/>
              <w:rPr>
                <w:rFonts w:hint="eastAsia" w:ascii="宋体" w:hAnsi="宋体" w:eastAsia="宋体" w:cs="宋体"/>
                <w:sz w:val="21"/>
                <w:szCs w:val="21"/>
              </w:rPr>
            </w:pPr>
          </w:p>
        </w:tc>
        <w:tc>
          <w:tcPr>
            <w:tcW w:w="4126" w:type="dxa"/>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管线点、窨井、其它点状符号</w:t>
            </w:r>
          </w:p>
        </w:tc>
      </w:tr>
    </w:tbl>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6.管线图以DWG文件格式提交，数据格式要求与AutoCAD 2000或以上版本兼容，管线注记层名要求如下表：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1365"/>
        <w:gridCol w:w="5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管  类</w:t>
            </w: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层  名</w:t>
            </w:r>
          </w:p>
        </w:tc>
        <w:tc>
          <w:tcPr>
            <w:tcW w:w="55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图    廓</w:t>
            </w: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TUKUO</w:t>
            </w:r>
          </w:p>
        </w:tc>
        <w:tc>
          <w:tcPr>
            <w:tcW w:w="55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图框整饰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jc w:val="center"/>
        </w:trPr>
        <w:tc>
          <w:tcPr>
            <w:tcW w:w="1475" w:type="dxa"/>
            <w:vMerge w:val="restart"/>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综合管沟</w:t>
            </w: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ZHTEXT</w:t>
            </w:r>
          </w:p>
        </w:tc>
        <w:tc>
          <w:tcPr>
            <w:tcW w:w="5565" w:type="dxa"/>
          </w:tcPr>
          <w:p>
            <w:pPr>
              <w:pStyle w:val="46"/>
              <w:spacing w:line="360" w:lineRule="auto"/>
              <w:ind w:left="0" w:firstLine="0" w:firstLineChars="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jc w:val="center"/>
        </w:trPr>
        <w:tc>
          <w:tcPr>
            <w:tcW w:w="1475" w:type="dxa"/>
            <w:vMerge w:val="continue"/>
            <w:vAlign w:val="center"/>
          </w:tcPr>
          <w:p>
            <w:pPr>
              <w:pStyle w:val="46"/>
              <w:spacing w:line="360" w:lineRule="auto"/>
              <w:ind w:left="0" w:firstLine="0" w:firstLineChars="0"/>
              <w:rPr>
                <w:rFonts w:hint="eastAsia" w:ascii="宋体" w:hAnsi="宋体" w:eastAsia="宋体" w:cs="宋体"/>
                <w:sz w:val="21"/>
                <w:szCs w:val="21"/>
              </w:rPr>
            </w:pP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ZHTEXT1</w:t>
            </w:r>
          </w:p>
        </w:tc>
        <w:tc>
          <w:tcPr>
            <w:tcW w:w="55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综合管沟边线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jc w:val="center"/>
        </w:trPr>
        <w:tc>
          <w:tcPr>
            <w:tcW w:w="1475" w:type="dxa"/>
            <w:vMerge w:val="continue"/>
            <w:vAlign w:val="center"/>
          </w:tcPr>
          <w:p>
            <w:pPr>
              <w:pStyle w:val="46"/>
              <w:spacing w:line="360" w:lineRule="auto"/>
              <w:ind w:left="0" w:firstLine="0" w:firstLineChars="0"/>
              <w:rPr>
                <w:rFonts w:hint="eastAsia" w:ascii="宋体" w:hAnsi="宋体" w:eastAsia="宋体" w:cs="宋体"/>
                <w:sz w:val="21"/>
                <w:szCs w:val="21"/>
              </w:rPr>
            </w:pP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ZHMARK</w:t>
            </w:r>
          </w:p>
        </w:tc>
        <w:tc>
          <w:tcPr>
            <w:tcW w:w="5565" w:type="dxa"/>
          </w:tcPr>
          <w:p>
            <w:pPr>
              <w:pStyle w:val="46"/>
              <w:spacing w:line="360" w:lineRule="auto"/>
              <w:ind w:left="0" w:firstLine="0" w:firstLineChars="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 w:hRule="atLeast"/>
          <w:jc w:val="center"/>
        </w:trPr>
        <w:tc>
          <w:tcPr>
            <w:tcW w:w="1475" w:type="dxa"/>
            <w:vMerge w:val="restart"/>
            <w:vAlign w:val="center"/>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路   灯</w:t>
            </w: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LDTEXT</w:t>
            </w:r>
          </w:p>
        </w:tc>
        <w:tc>
          <w:tcPr>
            <w:tcW w:w="55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点号注记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 w:hRule="atLeast"/>
          <w:jc w:val="center"/>
        </w:trPr>
        <w:tc>
          <w:tcPr>
            <w:tcW w:w="1475" w:type="dxa"/>
            <w:vMerge w:val="continue"/>
            <w:vAlign w:val="center"/>
          </w:tcPr>
          <w:p>
            <w:pPr>
              <w:pStyle w:val="46"/>
              <w:spacing w:line="360" w:lineRule="auto"/>
              <w:ind w:left="0" w:firstLine="0" w:firstLineChars="0"/>
              <w:rPr>
                <w:rFonts w:hint="eastAsia" w:ascii="宋体" w:hAnsi="宋体" w:eastAsia="宋体" w:cs="宋体"/>
                <w:sz w:val="21"/>
                <w:szCs w:val="21"/>
              </w:rPr>
            </w:pP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LDTEXT1</w:t>
            </w:r>
          </w:p>
        </w:tc>
        <w:tc>
          <w:tcPr>
            <w:tcW w:w="55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非普查区去向（虚线），管沟边线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 w:hRule="atLeast"/>
          <w:jc w:val="center"/>
        </w:trPr>
        <w:tc>
          <w:tcPr>
            <w:tcW w:w="1475" w:type="dxa"/>
            <w:vMerge w:val="continue"/>
            <w:vAlign w:val="center"/>
          </w:tcPr>
          <w:p>
            <w:pPr>
              <w:pStyle w:val="46"/>
              <w:spacing w:line="360" w:lineRule="auto"/>
              <w:ind w:left="0" w:firstLine="0" w:firstLineChars="0"/>
              <w:rPr>
                <w:rFonts w:hint="eastAsia" w:ascii="宋体" w:hAnsi="宋体" w:eastAsia="宋体" w:cs="宋体"/>
                <w:sz w:val="21"/>
                <w:szCs w:val="21"/>
              </w:rPr>
            </w:pPr>
          </w:p>
        </w:tc>
        <w:tc>
          <w:tcPr>
            <w:tcW w:w="13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LDMARK</w:t>
            </w:r>
          </w:p>
        </w:tc>
        <w:tc>
          <w:tcPr>
            <w:tcW w:w="556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专业标注</w:t>
            </w:r>
          </w:p>
        </w:tc>
      </w:tr>
    </w:tbl>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 数据库表标注项目应包含：管线点属性表、管线线段表、管沟线表、管沟点表、测区信息描述表等。</w:t>
      </w:r>
    </w:p>
    <w:p>
      <w:pPr>
        <w:adjustRightInd w:val="0"/>
        <w:snapToGrid w:val="0"/>
        <w:spacing w:line="360" w:lineRule="auto"/>
        <w:rPr>
          <w:rFonts w:hint="eastAsia" w:ascii="宋体" w:hAnsi="宋体" w:eastAsia="宋体" w:cs="宋体"/>
          <w:b/>
          <w:sz w:val="21"/>
          <w:szCs w:val="21"/>
        </w:rPr>
      </w:pPr>
      <w:r>
        <w:rPr>
          <w:rFonts w:hint="eastAsia" w:ascii="宋体" w:hAnsi="宋体" w:eastAsia="宋体" w:cs="宋体"/>
          <w:b/>
          <w:sz w:val="21"/>
          <w:szCs w:val="21"/>
        </w:rPr>
        <w:t>四、平面图编绘要求</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1.平面图必须采用探测成果与数字地形图叠加，以机助成图编绘。</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2.平面图分为专业管线图、综合管线图。</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3.平面图的比例尺为1：500，图幅规格及分幅应与南通市1：500地形图一致。</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4.数据处理所采用的软件及机助成图所采用的设备，可视实际情况和需要选择，但数据格式和代码应按相关规定执行。</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5.数据处理所采用的软件，应有以下功能：</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（1）地下管线测量数字化成图软件系统应具有数据通讯、分类、计算、编辑、绘制任意多边形窗口内的图形与输出各种成果表的功能。</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（2）图形编辑、修改、注记等清楚明了。</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（3）图面取舍合理，并能按需要、按附属设施实际位置进行标注。</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6.地下管线图按1：500地形图图式的规定绘制。数据、文字注记按下表执行。</w:t>
      </w:r>
    </w:p>
    <w:p>
      <w:pPr>
        <w:pStyle w:val="46"/>
        <w:spacing w:line="360" w:lineRule="auto"/>
        <w:ind w:left="0" w:firstLine="420" w:firstLineChars="200"/>
        <w:rPr>
          <w:rFonts w:hint="eastAsia" w:ascii="宋体" w:hAnsi="宋体" w:eastAsia="宋体" w:cs="宋体"/>
          <w:sz w:val="21"/>
          <w:szCs w:val="21"/>
        </w:rPr>
      </w:pPr>
      <w:r>
        <w:rPr>
          <w:rFonts w:hint="eastAsia" w:ascii="宋体" w:hAnsi="宋体" w:eastAsia="宋体" w:cs="宋体"/>
          <w:sz w:val="21"/>
          <w:szCs w:val="21"/>
        </w:rPr>
        <w:t xml:space="preserve">  地下管线图注记标准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4"/>
        <w:gridCol w:w="2099"/>
        <w:gridCol w:w="1489"/>
        <w:gridCol w:w="1276"/>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类  型</w:t>
            </w:r>
          </w:p>
        </w:tc>
        <w:tc>
          <w:tcPr>
            <w:tcW w:w="2099"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方  式</w:t>
            </w:r>
          </w:p>
        </w:tc>
        <w:tc>
          <w:tcPr>
            <w:tcW w:w="1489"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字  体</w:t>
            </w:r>
          </w:p>
        </w:tc>
        <w:tc>
          <w:tcPr>
            <w:tcW w:w="1276"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字大 (mm)</w:t>
            </w:r>
          </w:p>
        </w:tc>
        <w:tc>
          <w:tcPr>
            <w:tcW w:w="1275" w:type="dxa"/>
          </w:tcPr>
          <w:p>
            <w:pPr>
              <w:pStyle w:val="46"/>
              <w:spacing w:line="360" w:lineRule="auto"/>
              <w:ind w:left="0" w:firstLine="0" w:firstLineChars="0"/>
              <w:rPr>
                <w:rFonts w:hint="eastAsia" w:ascii="宋体" w:hAnsi="宋体" w:eastAsia="宋体" w:cs="宋体"/>
                <w:sz w:val="21"/>
                <w:szCs w:val="21"/>
              </w:rPr>
            </w:pPr>
            <w:r>
              <w:rPr>
                <w:rFonts w:hint="eastAsia" w:ascii="宋体" w:hAnsi="宋体" w:eastAsia="宋体" w:cs="宋体"/>
                <w:sz w:val="21"/>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管 线 点 号</w:t>
            </w:r>
          </w:p>
        </w:tc>
        <w:tc>
          <w:tcPr>
            <w:tcW w:w="209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字 符、数 字 混 合</w:t>
            </w:r>
          </w:p>
        </w:tc>
        <w:tc>
          <w:tcPr>
            <w:tcW w:w="148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正 等 线</w:t>
            </w:r>
          </w:p>
        </w:tc>
        <w:tc>
          <w:tcPr>
            <w:tcW w:w="1276"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275" w:type="dxa"/>
          </w:tcPr>
          <w:p>
            <w:pPr>
              <w:pStyle w:val="47"/>
              <w:spacing w:line="36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线 注 记</w:t>
            </w:r>
          </w:p>
        </w:tc>
        <w:tc>
          <w:tcPr>
            <w:tcW w:w="209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字 符、数 字 混 合</w:t>
            </w:r>
          </w:p>
        </w:tc>
        <w:tc>
          <w:tcPr>
            <w:tcW w:w="148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正 等 线</w:t>
            </w:r>
          </w:p>
        </w:tc>
        <w:tc>
          <w:tcPr>
            <w:tcW w:w="1276"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275" w:type="dxa"/>
          </w:tcPr>
          <w:p>
            <w:pPr>
              <w:pStyle w:val="47"/>
              <w:spacing w:line="36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扯 旗 说 明</w:t>
            </w:r>
          </w:p>
        </w:tc>
        <w:tc>
          <w:tcPr>
            <w:tcW w:w="209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汉 字、数 字 混 合</w:t>
            </w:r>
          </w:p>
        </w:tc>
        <w:tc>
          <w:tcPr>
            <w:tcW w:w="148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细 等 线</w:t>
            </w:r>
          </w:p>
        </w:tc>
        <w:tc>
          <w:tcPr>
            <w:tcW w:w="1276"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3</w:t>
            </w:r>
          </w:p>
        </w:tc>
        <w:tc>
          <w:tcPr>
            <w:tcW w:w="1275" w:type="dxa"/>
          </w:tcPr>
          <w:p>
            <w:pPr>
              <w:pStyle w:val="47"/>
              <w:spacing w:line="36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主 要 道 路 名</w:t>
            </w:r>
          </w:p>
        </w:tc>
        <w:tc>
          <w:tcPr>
            <w:tcW w:w="209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汉  字</w:t>
            </w:r>
          </w:p>
        </w:tc>
        <w:tc>
          <w:tcPr>
            <w:tcW w:w="148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细 等 线</w:t>
            </w:r>
          </w:p>
        </w:tc>
        <w:tc>
          <w:tcPr>
            <w:tcW w:w="1276"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4</w:t>
            </w:r>
          </w:p>
        </w:tc>
        <w:tc>
          <w:tcPr>
            <w:tcW w:w="1275" w:type="dxa"/>
          </w:tcPr>
          <w:p>
            <w:pPr>
              <w:pStyle w:val="47"/>
              <w:spacing w:line="36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街 巷、单 位 名</w:t>
            </w:r>
          </w:p>
        </w:tc>
        <w:tc>
          <w:tcPr>
            <w:tcW w:w="209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汉  字</w:t>
            </w:r>
          </w:p>
        </w:tc>
        <w:tc>
          <w:tcPr>
            <w:tcW w:w="148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细 等 线</w:t>
            </w:r>
          </w:p>
        </w:tc>
        <w:tc>
          <w:tcPr>
            <w:tcW w:w="1276"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3</w:t>
            </w:r>
          </w:p>
        </w:tc>
        <w:tc>
          <w:tcPr>
            <w:tcW w:w="1275" w:type="dxa"/>
          </w:tcPr>
          <w:p>
            <w:pPr>
              <w:pStyle w:val="47"/>
              <w:spacing w:line="36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进房、变径等说明</w:t>
            </w:r>
          </w:p>
        </w:tc>
        <w:tc>
          <w:tcPr>
            <w:tcW w:w="209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汉  字</w:t>
            </w:r>
          </w:p>
        </w:tc>
        <w:tc>
          <w:tcPr>
            <w:tcW w:w="148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正 等 线</w:t>
            </w:r>
          </w:p>
        </w:tc>
        <w:tc>
          <w:tcPr>
            <w:tcW w:w="1276"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275" w:type="dxa"/>
          </w:tcPr>
          <w:p>
            <w:pPr>
              <w:pStyle w:val="47"/>
              <w:spacing w:line="36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4"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高 程 点</w:t>
            </w:r>
          </w:p>
        </w:tc>
        <w:tc>
          <w:tcPr>
            <w:tcW w:w="209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数  字</w:t>
            </w:r>
          </w:p>
        </w:tc>
        <w:tc>
          <w:tcPr>
            <w:tcW w:w="1489"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正 等 线</w:t>
            </w:r>
          </w:p>
        </w:tc>
        <w:tc>
          <w:tcPr>
            <w:tcW w:w="1276" w:type="dxa"/>
          </w:tcPr>
          <w:p>
            <w:pPr>
              <w:pStyle w:val="47"/>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275" w:type="dxa"/>
          </w:tcPr>
          <w:p>
            <w:pPr>
              <w:pStyle w:val="47"/>
              <w:spacing w:line="360" w:lineRule="auto"/>
              <w:rPr>
                <w:rFonts w:hint="eastAsia" w:ascii="宋体" w:hAnsi="宋体" w:eastAsia="宋体" w:cs="宋体"/>
                <w:sz w:val="21"/>
                <w:szCs w:val="21"/>
              </w:rPr>
            </w:pPr>
          </w:p>
        </w:tc>
      </w:tr>
    </w:tbl>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7.接线箱、变电室等地面附属物一个边长大于和等于2.0米时，依比例绘制其边线。</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8.平面图各种文字、数字注记不得压盖管线及其附属设施的符号。</w:t>
      </w:r>
    </w:p>
    <w:p>
      <w:pPr>
        <w:adjustRightInd w:val="0"/>
        <w:snapToGrid w:val="0"/>
        <w:spacing w:line="360" w:lineRule="auto"/>
        <w:rPr>
          <w:rFonts w:hint="eastAsia" w:ascii="宋体" w:hAnsi="宋体" w:eastAsia="宋体" w:cs="宋体"/>
          <w:b/>
          <w:sz w:val="21"/>
          <w:szCs w:val="21"/>
        </w:rPr>
      </w:pPr>
      <w:r>
        <w:rPr>
          <w:rFonts w:hint="eastAsia" w:ascii="宋体" w:hAnsi="宋体" w:eastAsia="宋体" w:cs="宋体"/>
          <w:b/>
          <w:sz w:val="21"/>
          <w:szCs w:val="21"/>
        </w:rPr>
        <w:t>五、成果验收</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1.提交的探测成果包括：</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（1）任务合同书；</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（2）技术设计书（附物探方法试验报告）；</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（3）所利用的已有成果图、表资料、坐标和高程的起算数据、仪器检校资料；</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（4）管线现状调绘图、管线调查表和探测手簿（或现场绘制的草图）、控制点成果表、控制网图、专业地下管线图、综合地下管线图（彩色纸图）及计算机数据光盘；</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（5）各种野外观测记录、计算资料；各种检查和开挖验证记录；</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（6）质量自检报告及精度统计表、质量评价表；</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（7）技术总结报告书，其内容应包括：</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1）工程概况：工程的依据、目的和要求；工程的地理位置、地球物理和地形条件；开、竣工日期及实际完成的工作量；</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2）探测方法和技术措施：各工序作业的标准依据；坐标和高程的起算依据；采用的探测仪器和技术方法；地下管线图的编绘、计算机数据文件编制和成图方法、技术；</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3）质量评定：各工序质量检验与评定和结论；</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4）应说明和遗留的问题及处理措施；</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5）结论与建议；</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6）提交的成果；</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7）附图附表。</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2.验收合格的探测成果应符合下列要求：</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（1）探测单位提交的成果资料齐全。</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（2）探测技术措施应满足本规程和经批准的技术设计书。重要技术方案变动应提供充分的论证材料和充足的原因说明，并经市规划局批准。</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（3）利用的旧有成果资料应有来源单位出证和经质量确认单位或责任人鉴证。</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（4）各项探测的原始记录、计算资料和起算数据的引用均应履行过审核程序和手续，并符合质量要求。</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（5）各种管线调查表和探测成果表的登记和转录均有登记人和校核人签名。</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（6）各项仪器检查、开挖验证记录齐全，发现的问题已作出处理和改正。</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（7）各种专业管线图、综合管线图均应有作业人员和专业人员进行室内图面检查、实地对照检查和仪器检查、开挖验证，并符合质量要求。</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（8）技术总结报告书内容齐全、能反映工程的全貌，结论正确、建议合理可行。</w:t>
      </w:r>
    </w:p>
    <w:p>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（9）成果资料组卷装订应符合南通市规划局的有关规定。</w:t>
      </w:r>
    </w:p>
    <w:p>
      <w:pPr>
        <w:spacing w:line="360" w:lineRule="auto"/>
        <w:rPr>
          <w:rFonts w:ascii="Times New Roman" w:hAnsi="Times New Roman"/>
          <w:b/>
          <w:color w:val="auto"/>
          <w:sz w:val="36"/>
          <w:szCs w:val="36"/>
          <w:highlight w:val="none"/>
        </w:rPr>
      </w:pPr>
      <w:r>
        <w:rPr>
          <w:rFonts w:hint="eastAsia" w:ascii="宋体" w:hAnsi="宋体" w:eastAsia="宋体" w:cs="宋体"/>
          <w:sz w:val="21"/>
          <w:szCs w:val="21"/>
        </w:rPr>
        <w:t>3.验收合格后应写出验收报告。</w:t>
      </w:r>
      <w:r>
        <w:rPr>
          <w:rFonts w:ascii="Times New Roman" w:hAnsi="Times New Roman"/>
          <w:b/>
          <w:color w:val="auto"/>
          <w:sz w:val="36"/>
          <w:szCs w:val="36"/>
          <w:highlight w:val="none"/>
        </w:rPr>
        <w:br w:type="page"/>
      </w:r>
    </w:p>
    <w:p>
      <w:pPr>
        <w:keepNext/>
        <w:keepLines/>
        <w:spacing w:before="120" w:after="120" w:line="360" w:lineRule="auto"/>
        <w:jc w:val="center"/>
        <w:outlineLvl w:val="0"/>
        <w:rPr>
          <w:rFonts w:ascii="Times New Roman" w:hAnsi="Times New Roman"/>
          <w:b/>
          <w:color w:val="auto"/>
          <w:sz w:val="36"/>
          <w:szCs w:val="36"/>
          <w:highlight w:val="none"/>
        </w:rPr>
      </w:pPr>
      <w:r>
        <w:rPr>
          <w:rFonts w:ascii="Times New Roman" w:hAnsi="Times New Roman"/>
          <w:b/>
          <w:color w:val="auto"/>
          <w:sz w:val="36"/>
          <w:szCs w:val="36"/>
          <w:highlight w:val="none"/>
        </w:rPr>
        <w:t>第六章投标文件格式</w:t>
      </w:r>
    </w:p>
    <w:p>
      <w:pPr>
        <w:rPr>
          <w:rFonts w:ascii="Times New Roman" w:hAnsi="Times New Roman"/>
          <w:color w:val="auto"/>
          <w:highlight w:val="none"/>
        </w:rPr>
      </w:pPr>
    </w:p>
    <w:p>
      <w:pPr>
        <w:autoSpaceDN w:val="0"/>
        <w:spacing w:line="495" w:lineRule="atLeast"/>
        <w:jc w:val="right"/>
        <w:rPr>
          <w:rFonts w:ascii="Times New Roman" w:hAnsi="Times New Roman"/>
          <w:b/>
          <w:color w:val="auto"/>
          <w:sz w:val="28"/>
          <w:szCs w:val="28"/>
          <w:highlight w:val="none"/>
        </w:rPr>
      </w:pPr>
      <w:r>
        <w:rPr>
          <w:rFonts w:ascii="Times New Roman" w:hAnsi="Times New Roman"/>
          <w:b/>
          <w:color w:val="auto"/>
          <w:sz w:val="28"/>
          <w:szCs w:val="28"/>
          <w:highlight w:val="none"/>
        </w:rPr>
        <w:t>正本/副本</w:t>
      </w:r>
    </w:p>
    <w:p>
      <w:pPr>
        <w:adjustRightInd w:val="0"/>
        <w:spacing w:line="360" w:lineRule="auto"/>
        <w:jc w:val="left"/>
        <w:textAlignment w:val="baseline"/>
        <w:rPr>
          <w:rFonts w:ascii="Times New Roman" w:hAnsi="Times New Roman"/>
          <w:b/>
          <w:color w:val="auto"/>
          <w:kern w:val="0"/>
          <w:sz w:val="48"/>
          <w:szCs w:val="20"/>
          <w:highlight w:val="none"/>
        </w:rPr>
      </w:pPr>
    </w:p>
    <w:p>
      <w:pPr>
        <w:adjustRightInd w:val="0"/>
        <w:spacing w:line="360" w:lineRule="auto"/>
        <w:jc w:val="left"/>
        <w:textAlignment w:val="baseline"/>
        <w:rPr>
          <w:rFonts w:ascii="Times New Roman" w:hAnsi="Times New Roman"/>
          <w:b/>
          <w:color w:val="auto"/>
          <w:kern w:val="0"/>
          <w:sz w:val="48"/>
          <w:szCs w:val="20"/>
          <w:highlight w:val="none"/>
        </w:rPr>
      </w:pPr>
    </w:p>
    <w:p>
      <w:pPr>
        <w:spacing w:line="360" w:lineRule="auto"/>
        <w:jc w:val="center"/>
        <w:rPr>
          <w:rFonts w:hint="eastAsia" w:ascii="Times New Roman" w:hAnsi="Times New Roman" w:eastAsia="宋体"/>
          <w:b/>
          <w:color w:val="auto"/>
          <w:sz w:val="44"/>
          <w:szCs w:val="44"/>
          <w:highlight w:val="none"/>
          <w:lang w:eastAsia="zh-CN"/>
        </w:rPr>
      </w:pPr>
      <w:r>
        <w:rPr>
          <w:rFonts w:hint="eastAsia" w:ascii="Times New Roman" w:hAnsi="Times New Roman"/>
          <w:b/>
          <w:color w:val="auto"/>
          <w:sz w:val="44"/>
          <w:szCs w:val="44"/>
          <w:highlight w:val="none"/>
          <w:lang w:eastAsia="zh-CN"/>
        </w:rPr>
        <w:t>南通创新区通沪大道以北区域部分照明设施电子测绘</w:t>
      </w:r>
    </w:p>
    <w:p>
      <w:pPr>
        <w:spacing w:line="360" w:lineRule="auto"/>
        <w:jc w:val="center"/>
        <w:rPr>
          <w:rFonts w:ascii="Times New Roman" w:hAnsi="Times New Roman"/>
          <w:b/>
          <w:color w:val="auto"/>
          <w:sz w:val="44"/>
          <w:szCs w:val="44"/>
          <w:highlight w:val="none"/>
        </w:rPr>
      </w:pPr>
    </w:p>
    <w:p>
      <w:pPr>
        <w:spacing w:line="360" w:lineRule="auto"/>
        <w:jc w:val="center"/>
        <w:rPr>
          <w:rFonts w:ascii="Times New Roman" w:hAnsi="Times New Roman"/>
          <w:b/>
          <w:color w:val="auto"/>
          <w:sz w:val="44"/>
          <w:szCs w:val="44"/>
          <w:highlight w:val="none"/>
        </w:rPr>
      </w:pPr>
      <w:r>
        <w:rPr>
          <w:rFonts w:ascii="Times New Roman" w:hAnsi="Times New Roman"/>
          <w:b/>
          <w:color w:val="auto"/>
          <w:sz w:val="44"/>
          <w:szCs w:val="44"/>
          <w:highlight w:val="none"/>
        </w:rPr>
        <w:t xml:space="preserve">(资格审查/商务标) </w:t>
      </w:r>
    </w:p>
    <w:p>
      <w:pPr>
        <w:adjustRightInd w:val="0"/>
        <w:snapToGrid w:val="0"/>
        <w:ind w:firstLine="640"/>
        <w:rPr>
          <w:rFonts w:ascii="Times New Roman" w:hAnsi="Times New Roman"/>
          <w:color w:val="auto"/>
          <w:sz w:val="10"/>
          <w:highlight w:val="none"/>
        </w:rPr>
      </w:pPr>
    </w:p>
    <w:p>
      <w:pPr>
        <w:adjustRightInd w:val="0"/>
        <w:snapToGrid w:val="0"/>
        <w:ind w:firstLine="640"/>
        <w:jc w:val="center"/>
        <w:rPr>
          <w:rFonts w:ascii="Times New Roman" w:hAnsi="Times New Roman"/>
          <w:color w:val="auto"/>
          <w:sz w:val="32"/>
          <w:highlight w:val="none"/>
        </w:rPr>
      </w:pPr>
    </w:p>
    <w:p>
      <w:pPr>
        <w:adjustRightInd w:val="0"/>
        <w:snapToGrid w:val="0"/>
        <w:ind w:firstLine="640"/>
        <w:jc w:val="center"/>
        <w:rPr>
          <w:rFonts w:ascii="Times New Roman" w:hAnsi="Times New Roman"/>
          <w:color w:val="auto"/>
          <w:sz w:val="32"/>
          <w:highlight w:val="none"/>
        </w:rPr>
      </w:pPr>
    </w:p>
    <w:p>
      <w:pPr>
        <w:adjustRightInd w:val="0"/>
        <w:snapToGrid w:val="0"/>
        <w:ind w:right="-153" w:rightChars="-73" w:firstLine="964" w:firstLineChars="300"/>
        <w:rPr>
          <w:rFonts w:ascii="Times New Roman" w:hAnsi="Times New Roman"/>
          <w:b/>
          <w:color w:val="auto"/>
          <w:sz w:val="32"/>
          <w:highlight w:val="none"/>
        </w:rPr>
      </w:pPr>
    </w:p>
    <w:p>
      <w:pPr>
        <w:adjustRightInd w:val="0"/>
        <w:snapToGrid w:val="0"/>
        <w:ind w:right="-153" w:rightChars="-73" w:firstLine="964" w:firstLineChars="300"/>
        <w:rPr>
          <w:rFonts w:ascii="Times New Roman" w:hAnsi="Times New Roman"/>
          <w:b/>
          <w:color w:val="auto"/>
          <w:sz w:val="32"/>
          <w:highlight w:val="none"/>
        </w:rPr>
      </w:pPr>
    </w:p>
    <w:p>
      <w:pPr>
        <w:adjustRightInd w:val="0"/>
        <w:snapToGrid w:val="0"/>
        <w:ind w:right="-153" w:rightChars="-73" w:firstLine="964" w:firstLineChars="300"/>
        <w:rPr>
          <w:rFonts w:ascii="Times New Roman" w:hAnsi="Times New Roman"/>
          <w:b/>
          <w:color w:val="auto"/>
          <w:sz w:val="32"/>
          <w:highlight w:val="none"/>
        </w:rPr>
      </w:pPr>
    </w:p>
    <w:p>
      <w:pPr>
        <w:adjustRightInd w:val="0"/>
        <w:snapToGrid w:val="0"/>
        <w:ind w:right="-153" w:rightChars="-73" w:firstLine="964" w:firstLineChars="300"/>
        <w:rPr>
          <w:rFonts w:ascii="Times New Roman" w:hAnsi="Times New Roman"/>
          <w:b/>
          <w:color w:val="auto"/>
          <w:sz w:val="32"/>
          <w:highlight w:val="none"/>
        </w:rPr>
      </w:pPr>
    </w:p>
    <w:p>
      <w:pPr>
        <w:adjustRightInd w:val="0"/>
        <w:snapToGrid w:val="0"/>
        <w:ind w:right="-153" w:rightChars="-73" w:firstLine="964" w:firstLineChars="300"/>
        <w:rPr>
          <w:rFonts w:ascii="Times New Roman" w:hAnsi="Times New Roman"/>
          <w:b/>
          <w:color w:val="auto"/>
          <w:sz w:val="32"/>
          <w:highlight w:val="none"/>
        </w:rPr>
      </w:pPr>
    </w:p>
    <w:p>
      <w:pPr>
        <w:adjustRightInd w:val="0"/>
        <w:snapToGrid w:val="0"/>
        <w:ind w:right="-153" w:rightChars="-73" w:firstLine="964" w:firstLineChars="300"/>
        <w:rPr>
          <w:rFonts w:ascii="Times New Roman" w:hAnsi="Times New Roman"/>
          <w:b/>
          <w:color w:val="auto"/>
          <w:sz w:val="32"/>
          <w:highlight w:val="none"/>
        </w:rPr>
      </w:pPr>
    </w:p>
    <w:p>
      <w:pPr>
        <w:adjustRightInd w:val="0"/>
        <w:snapToGrid w:val="0"/>
        <w:ind w:right="-153" w:rightChars="-73" w:firstLine="641"/>
        <w:rPr>
          <w:rFonts w:ascii="Times New Roman" w:hAnsi="Times New Roman"/>
          <w:b/>
          <w:color w:val="auto"/>
          <w:sz w:val="32"/>
          <w:highlight w:val="none"/>
        </w:rPr>
      </w:pPr>
    </w:p>
    <w:p>
      <w:pPr>
        <w:adjustRightInd w:val="0"/>
        <w:snapToGrid w:val="0"/>
        <w:ind w:right="-153" w:rightChars="-73" w:firstLine="641"/>
        <w:rPr>
          <w:rFonts w:ascii="Times New Roman" w:hAnsi="Times New Roman"/>
          <w:b/>
          <w:color w:val="auto"/>
          <w:sz w:val="32"/>
          <w:highlight w:val="none"/>
        </w:rPr>
      </w:pPr>
    </w:p>
    <w:p>
      <w:pPr>
        <w:adjustRightInd w:val="0"/>
        <w:snapToGrid w:val="0"/>
        <w:ind w:right="-153" w:rightChars="-73" w:firstLine="641"/>
        <w:rPr>
          <w:rFonts w:ascii="Times New Roman" w:hAnsi="Times New Roman"/>
          <w:b/>
          <w:color w:val="auto"/>
          <w:sz w:val="32"/>
          <w:highlight w:val="none"/>
        </w:rPr>
      </w:pPr>
    </w:p>
    <w:p>
      <w:pPr>
        <w:adjustRightInd w:val="0"/>
        <w:snapToGrid w:val="0"/>
        <w:ind w:right="-153" w:rightChars="-73" w:firstLine="641"/>
        <w:rPr>
          <w:rFonts w:ascii="Times New Roman" w:hAnsi="Times New Roman"/>
          <w:b/>
          <w:color w:val="auto"/>
          <w:sz w:val="32"/>
          <w:highlight w:val="none"/>
        </w:rPr>
      </w:pPr>
    </w:p>
    <w:p>
      <w:pPr>
        <w:adjustRightInd w:val="0"/>
        <w:snapToGrid w:val="0"/>
        <w:ind w:right="-153" w:rightChars="-73" w:firstLine="641"/>
        <w:rPr>
          <w:rFonts w:ascii="Times New Roman" w:hAnsi="Times New Roman"/>
          <w:b/>
          <w:color w:val="auto"/>
          <w:sz w:val="32"/>
          <w:highlight w:val="none"/>
        </w:rPr>
      </w:pPr>
    </w:p>
    <w:p>
      <w:pPr>
        <w:adjustRightInd w:val="0"/>
        <w:snapToGrid w:val="0"/>
        <w:ind w:right="-153" w:rightChars="-73" w:firstLine="641"/>
        <w:rPr>
          <w:rFonts w:ascii="Times New Roman" w:hAnsi="Times New Roman"/>
          <w:b/>
          <w:color w:val="auto"/>
          <w:sz w:val="32"/>
          <w:highlight w:val="none"/>
        </w:rPr>
      </w:pPr>
    </w:p>
    <w:p>
      <w:pPr>
        <w:adjustRightInd w:val="0"/>
        <w:snapToGrid w:val="0"/>
        <w:ind w:firstLine="964" w:firstLineChars="300"/>
        <w:jc w:val="left"/>
        <w:rPr>
          <w:rFonts w:ascii="Times New Roman" w:hAnsi="Times New Roman"/>
          <w:b/>
          <w:color w:val="auto"/>
          <w:sz w:val="32"/>
          <w:highlight w:val="none"/>
          <w:u w:val="single"/>
        </w:rPr>
      </w:pPr>
      <w:r>
        <w:rPr>
          <w:rFonts w:ascii="Times New Roman" w:hAnsi="Times New Roman"/>
          <w:b/>
          <w:color w:val="auto"/>
          <w:sz w:val="32"/>
          <w:highlight w:val="none"/>
        </w:rPr>
        <w:t>投标单位名称：</w:t>
      </w:r>
      <w:r>
        <w:rPr>
          <w:rFonts w:ascii="Times New Roman" w:hAnsi="Times New Roman"/>
          <w:b/>
          <w:color w:val="auto"/>
          <w:sz w:val="32"/>
          <w:highlight w:val="none"/>
          <w:u w:val="single"/>
        </w:rPr>
        <w:t>（盖章）</w:t>
      </w:r>
    </w:p>
    <w:p>
      <w:pPr>
        <w:adjustRightInd w:val="0"/>
        <w:snapToGrid w:val="0"/>
        <w:ind w:firstLine="641"/>
        <w:jc w:val="left"/>
        <w:rPr>
          <w:rFonts w:ascii="Times New Roman" w:hAnsi="Times New Roman"/>
          <w:b/>
          <w:color w:val="auto"/>
          <w:sz w:val="32"/>
          <w:highlight w:val="none"/>
        </w:rPr>
      </w:pPr>
    </w:p>
    <w:p>
      <w:pPr>
        <w:adjustRightInd w:val="0"/>
        <w:snapToGrid w:val="0"/>
        <w:ind w:firstLine="964" w:firstLineChars="300"/>
        <w:jc w:val="left"/>
        <w:rPr>
          <w:rFonts w:ascii="Times New Roman" w:hAnsi="Times New Roman"/>
          <w:b/>
          <w:color w:val="auto"/>
          <w:sz w:val="32"/>
          <w:highlight w:val="none"/>
          <w:u w:val="single"/>
        </w:rPr>
      </w:pPr>
      <w:r>
        <w:rPr>
          <w:rFonts w:ascii="Times New Roman" w:hAnsi="Times New Roman"/>
          <w:b/>
          <w:color w:val="auto"/>
          <w:sz w:val="32"/>
          <w:highlight w:val="none"/>
        </w:rPr>
        <w:t>法定代表或其委托代理人：</w:t>
      </w:r>
      <w:r>
        <w:rPr>
          <w:rFonts w:ascii="Times New Roman" w:hAnsi="Times New Roman"/>
          <w:b/>
          <w:color w:val="auto"/>
          <w:sz w:val="32"/>
          <w:highlight w:val="none"/>
          <w:u w:val="single"/>
        </w:rPr>
        <w:t>（签字或盖章）</w:t>
      </w:r>
    </w:p>
    <w:p>
      <w:pPr>
        <w:adjustRightInd w:val="0"/>
        <w:snapToGrid w:val="0"/>
        <w:ind w:firstLine="641"/>
        <w:jc w:val="left"/>
        <w:rPr>
          <w:rFonts w:ascii="Times New Roman" w:hAnsi="Times New Roman"/>
          <w:b/>
          <w:color w:val="auto"/>
          <w:sz w:val="32"/>
          <w:highlight w:val="none"/>
        </w:rPr>
      </w:pPr>
    </w:p>
    <w:p>
      <w:pPr>
        <w:ind w:firstLine="964" w:firstLineChars="300"/>
        <w:jc w:val="left"/>
        <w:rPr>
          <w:rFonts w:ascii="Times New Roman" w:hAnsi="Times New Roman"/>
          <w:b/>
          <w:color w:val="auto"/>
          <w:sz w:val="32"/>
          <w:highlight w:val="none"/>
          <w:u w:val="single"/>
        </w:rPr>
      </w:pPr>
      <w:r>
        <w:rPr>
          <w:rFonts w:ascii="Times New Roman" w:hAnsi="Times New Roman"/>
          <w:b/>
          <w:color w:val="auto"/>
          <w:sz w:val="32"/>
          <w:highlight w:val="none"/>
        </w:rPr>
        <w:t>日期：</w:t>
      </w:r>
      <w:r>
        <w:rPr>
          <w:rFonts w:hint="eastAsia" w:ascii="Times New Roman" w:hAnsi="Times New Roman"/>
          <w:b/>
          <w:color w:val="auto"/>
          <w:sz w:val="32"/>
          <w:highlight w:val="none"/>
          <w:u w:val="single"/>
          <w:lang w:val="en-US" w:eastAsia="zh-CN"/>
        </w:rPr>
        <w:t xml:space="preserve">     </w:t>
      </w:r>
      <w:r>
        <w:rPr>
          <w:rFonts w:ascii="Times New Roman" w:hAnsi="Times New Roman"/>
          <w:b/>
          <w:color w:val="auto"/>
          <w:sz w:val="32"/>
          <w:highlight w:val="none"/>
          <w:u w:val="single"/>
        </w:rPr>
        <w:t>年</w:t>
      </w:r>
      <w:r>
        <w:rPr>
          <w:rFonts w:hint="eastAsia" w:ascii="Times New Roman" w:hAnsi="Times New Roman"/>
          <w:b/>
          <w:color w:val="auto"/>
          <w:sz w:val="32"/>
          <w:highlight w:val="none"/>
          <w:u w:val="single"/>
          <w:lang w:val="en-US" w:eastAsia="zh-CN"/>
        </w:rPr>
        <w:t xml:space="preserve">    </w:t>
      </w:r>
      <w:r>
        <w:rPr>
          <w:rFonts w:ascii="Times New Roman" w:hAnsi="Times New Roman"/>
          <w:b/>
          <w:color w:val="auto"/>
          <w:sz w:val="32"/>
          <w:highlight w:val="none"/>
          <w:u w:val="single"/>
        </w:rPr>
        <w:t>月</w:t>
      </w:r>
      <w:r>
        <w:rPr>
          <w:rFonts w:hint="eastAsia" w:ascii="Times New Roman" w:hAnsi="Times New Roman"/>
          <w:b/>
          <w:color w:val="auto"/>
          <w:sz w:val="32"/>
          <w:highlight w:val="none"/>
          <w:u w:val="single"/>
          <w:lang w:val="en-US" w:eastAsia="zh-CN"/>
        </w:rPr>
        <w:t xml:space="preserve">    </w:t>
      </w:r>
      <w:r>
        <w:rPr>
          <w:rFonts w:ascii="Times New Roman" w:hAnsi="Times New Roman"/>
          <w:b/>
          <w:color w:val="auto"/>
          <w:sz w:val="32"/>
          <w:highlight w:val="none"/>
          <w:u w:val="single"/>
        </w:rPr>
        <w:t>日</w:t>
      </w:r>
    </w:p>
    <w:p>
      <w:pPr>
        <w:ind w:firstLine="1084" w:firstLineChars="300"/>
        <w:jc w:val="left"/>
        <w:rPr>
          <w:rFonts w:ascii="Times New Roman" w:hAnsi="Times New Roman"/>
          <w:b/>
          <w:color w:val="auto"/>
          <w:sz w:val="36"/>
          <w:highlight w:val="none"/>
          <w:u w:val="single"/>
        </w:rPr>
      </w:pPr>
    </w:p>
    <w:p>
      <w:pPr>
        <w:spacing w:line="360" w:lineRule="auto"/>
        <w:jc w:val="center"/>
        <w:rPr>
          <w:rFonts w:ascii="Times New Roman" w:hAnsi="Times New Roman"/>
          <w:b/>
          <w:color w:val="auto"/>
          <w:sz w:val="32"/>
          <w:szCs w:val="32"/>
          <w:highlight w:val="none"/>
        </w:rPr>
      </w:pPr>
      <w:r>
        <w:rPr>
          <w:rFonts w:hint="eastAsia" w:ascii="Times New Roman" w:hAnsi="Times New Roman"/>
          <w:b/>
          <w:color w:val="auto"/>
          <w:sz w:val="32"/>
          <w:szCs w:val="32"/>
          <w:highlight w:val="none"/>
        </w:rPr>
        <w:t>1、</w:t>
      </w:r>
      <w:r>
        <w:rPr>
          <w:rFonts w:ascii="Times New Roman" w:hAnsi="Times New Roman"/>
          <w:b/>
          <w:color w:val="auto"/>
          <w:sz w:val="32"/>
          <w:szCs w:val="32"/>
          <w:highlight w:val="none"/>
        </w:rPr>
        <w:t>法定代表人身份证明书</w:t>
      </w:r>
    </w:p>
    <w:p>
      <w:pPr>
        <w:spacing w:line="360" w:lineRule="auto"/>
        <w:ind w:firstLine="525" w:firstLineChars="250"/>
        <w:jc w:val="center"/>
        <w:rPr>
          <w:rFonts w:ascii="Times New Roman" w:hAnsi="Times New Roman"/>
          <w:color w:val="auto"/>
          <w:szCs w:val="21"/>
          <w:highlight w:val="none"/>
        </w:rPr>
      </w:pPr>
    </w:p>
    <w:p>
      <w:pPr>
        <w:spacing w:line="360" w:lineRule="auto"/>
        <w:ind w:firstLine="525" w:firstLineChars="250"/>
        <w:rPr>
          <w:rFonts w:hint="default" w:ascii="Times New Roman" w:hAnsi="Times New Roman" w:eastAsia="宋体"/>
          <w:color w:val="auto"/>
          <w:szCs w:val="21"/>
          <w:highlight w:val="none"/>
          <w:u w:val="single"/>
          <w:lang w:val="en-US" w:eastAsia="zh-CN"/>
        </w:rPr>
      </w:pPr>
      <w:r>
        <w:rPr>
          <w:rFonts w:ascii="Times New Roman" w:hAnsi="Times New Roman"/>
          <w:color w:val="auto"/>
          <w:szCs w:val="21"/>
          <w:highlight w:val="none"/>
        </w:rPr>
        <w:t>单位名称：</w:t>
      </w:r>
      <w:r>
        <w:rPr>
          <w:rFonts w:hint="eastAsia" w:ascii="Times New Roman" w:hAnsi="Times New Roman"/>
          <w:color w:val="auto"/>
          <w:szCs w:val="21"/>
          <w:highlight w:val="none"/>
          <w:u w:val="single"/>
          <w:lang w:val="en-US" w:eastAsia="zh-CN"/>
        </w:rPr>
        <w:t xml:space="preserve">                        </w:t>
      </w:r>
    </w:p>
    <w:p>
      <w:pPr>
        <w:spacing w:line="360" w:lineRule="auto"/>
        <w:ind w:firstLine="525" w:firstLineChars="250"/>
        <w:rPr>
          <w:rFonts w:hint="default" w:ascii="Times New Roman" w:hAnsi="Times New Roman" w:eastAsia="宋体"/>
          <w:color w:val="auto"/>
          <w:szCs w:val="21"/>
          <w:highlight w:val="none"/>
          <w:u w:val="single"/>
          <w:lang w:val="en-US" w:eastAsia="zh-CN"/>
        </w:rPr>
      </w:pPr>
      <w:r>
        <w:rPr>
          <w:rFonts w:ascii="Times New Roman" w:hAnsi="Times New Roman"/>
          <w:color w:val="auto"/>
          <w:szCs w:val="21"/>
          <w:highlight w:val="none"/>
        </w:rPr>
        <w:t>单位性质：</w:t>
      </w:r>
      <w:r>
        <w:rPr>
          <w:rFonts w:hint="eastAsia" w:ascii="Times New Roman" w:hAnsi="Times New Roman"/>
          <w:color w:val="auto"/>
          <w:szCs w:val="21"/>
          <w:highlight w:val="none"/>
          <w:u w:val="single"/>
          <w:lang w:val="en-US" w:eastAsia="zh-CN"/>
        </w:rPr>
        <w:t xml:space="preserve">                       </w:t>
      </w:r>
    </w:p>
    <w:p>
      <w:pPr>
        <w:spacing w:line="360" w:lineRule="auto"/>
        <w:ind w:firstLine="525" w:firstLineChars="250"/>
        <w:rPr>
          <w:rFonts w:hint="default" w:ascii="Times New Roman" w:hAnsi="Times New Roman" w:eastAsia="宋体"/>
          <w:color w:val="auto"/>
          <w:szCs w:val="21"/>
          <w:highlight w:val="none"/>
          <w:u w:val="single"/>
          <w:lang w:val="en-US" w:eastAsia="zh-CN"/>
        </w:rPr>
      </w:pPr>
      <w:r>
        <w:rPr>
          <w:rFonts w:ascii="Times New Roman" w:hAnsi="Times New Roman"/>
          <w:color w:val="auto"/>
          <w:szCs w:val="21"/>
          <w:highlight w:val="none"/>
        </w:rPr>
        <w:t>地址：</w:t>
      </w:r>
      <w:r>
        <w:rPr>
          <w:rFonts w:hint="eastAsia" w:ascii="Times New Roman" w:hAnsi="Times New Roman"/>
          <w:color w:val="auto"/>
          <w:szCs w:val="21"/>
          <w:highlight w:val="none"/>
          <w:u w:val="single"/>
          <w:lang w:val="en-US" w:eastAsia="zh-CN"/>
        </w:rPr>
        <w:t xml:space="preserve">                         </w:t>
      </w:r>
    </w:p>
    <w:p>
      <w:pPr>
        <w:spacing w:line="360" w:lineRule="auto"/>
        <w:ind w:firstLine="525" w:firstLineChars="250"/>
        <w:rPr>
          <w:rFonts w:ascii="Times New Roman" w:hAnsi="Times New Roman"/>
          <w:color w:val="auto"/>
          <w:szCs w:val="21"/>
          <w:highlight w:val="none"/>
        </w:rPr>
      </w:pPr>
      <w:r>
        <w:rPr>
          <w:rFonts w:ascii="Times New Roman" w:hAnsi="Times New Roman"/>
          <w:color w:val="auto"/>
          <w:szCs w:val="21"/>
          <w:highlight w:val="none"/>
        </w:rPr>
        <w:t>成立时间：</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u w:val="single"/>
        </w:rPr>
        <w:t>年</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u w:val="single"/>
        </w:rPr>
        <w:t>月</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u w:val="single"/>
        </w:rPr>
        <w:t>日</w:t>
      </w:r>
    </w:p>
    <w:p>
      <w:pPr>
        <w:spacing w:line="360" w:lineRule="auto"/>
        <w:ind w:firstLine="525" w:firstLineChars="250"/>
        <w:rPr>
          <w:rFonts w:hint="eastAsia" w:ascii="Times New Roman" w:hAnsi="Times New Roman"/>
          <w:color w:val="auto"/>
          <w:szCs w:val="21"/>
          <w:highlight w:val="none"/>
          <w:u w:val="single"/>
          <w:lang w:val="en-US" w:eastAsia="zh-CN"/>
        </w:rPr>
      </w:pPr>
      <w:r>
        <w:rPr>
          <w:rFonts w:ascii="Times New Roman" w:hAnsi="Times New Roman"/>
          <w:color w:val="auto"/>
          <w:szCs w:val="21"/>
          <w:highlight w:val="none"/>
        </w:rPr>
        <w:t>经营期限：</w:t>
      </w:r>
      <w:r>
        <w:rPr>
          <w:rFonts w:hint="eastAsia" w:ascii="Times New Roman" w:hAnsi="Times New Roman"/>
          <w:color w:val="auto"/>
          <w:szCs w:val="21"/>
          <w:highlight w:val="none"/>
          <w:u w:val="single"/>
          <w:lang w:val="en-US" w:eastAsia="zh-CN"/>
        </w:rPr>
        <w:t xml:space="preserve">               </w:t>
      </w:r>
    </w:p>
    <w:p>
      <w:pPr>
        <w:spacing w:line="360" w:lineRule="auto"/>
        <w:ind w:firstLine="525" w:firstLineChars="250"/>
        <w:rPr>
          <w:rFonts w:hint="default" w:ascii="Times New Roman" w:hAnsi="Times New Roman" w:eastAsia="宋体"/>
          <w:color w:val="auto"/>
          <w:szCs w:val="21"/>
          <w:highlight w:val="none"/>
          <w:u w:val="single"/>
          <w:lang w:val="en-US" w:eastAsia="zh-CN"/>
        </w:rPr>
      </w:pPr>
      <w:r>
        <w:rPr>
          <w:rFonts w:ascii="Times New Roman" w:hAnsi="Times New Roman"/>
          <w:color w:val="auto"/>
          <w:szCs w:val="21"/>
          <w:highlight w:val="none"/>
        </w:rPr>
        <w:t>姓名：</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rPr>
        <w:t>性别</w:t>
      </w:r>
      <w:r>
        <w:rPr>
          <w:rFonts w:hint="eastAsia" w:ascii="Times New Roman" w:hAnsi="Times New Roman"/>
          <w:color w:val="auto"/>
          <w:szCs w:val="21"/>
          <w:highlight w:val="none"/>
        </w:rPr>
        <w:t>：</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rPr>
        <w:t>年龄</w:t>
      </w:r>
      <w:r>
        <w:rPr>
          <w:rFonts w:hint="eastAsia" w:ascii="Times New Roman" w:hAnsi="Times New Roman"/>
          <w:color w:val="auto"/>
          <w:szCs w:val="21"/>
          <w:highlight w:val="none"/>
        </w:rPr>
        <w:t>：</w:t>
      </w:r>
      <w:r>
        <w:rPr>
          <w:rFonts w:hint="eastAsia" w:ascii="Times New Roman" w:hAnsi="Times New Roman"/>
          <w:color w:val="auto"/>
          <w:szCs w:val="21"/>
          <w:highlight w:val="none"/>
          <w:u w:val="single"/>
          <w:lang w:val="en-US" w:eastAsia="zh-CN"/>
        </w:rPr>
        <w:t xml:space="preserve">                </w:t>
      </w:r>
    </w:p>
    <w:p>
      <w:pPr>
        <w:spacing w:line="360" w:lineRule="auto"/>
        <w:ind w:firstLine="525" w:firstLineChars="250"/>
        <w:rPr>
          <w:rFonts w:ascii="Times New Roman" w:hAnsi="Times New Roman"/>
          <w:color w:val="auto"/>
          <w:szCs w:val="21"/>
          <w:highlight w:val="none"/>
        </w:rPr>
      </w:pPr>
      <w:r>
        <w:rPr>
          <w:rFonts w:ascii="Times New Roman" w:hAnsi="Times New Roman"/>
          <w:color w:val="auto"/>
          <w:szCs w:val="21"/>
          <w:highlight w:val="none"/>
        </w:rPr>
        <w:t>职务：</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rPr>
        <w:t>系：</w:t>
      </w:r>
      <w:r>
        <w:rPr>
          <w:rFonts w:ascii="Times New Roman" w:hAnsi="Times New Roman"/>
          <w:color w:val="auto"/>
          <w:szCs w:val="21"/>
          <w:highlight w:val="none"/>
          <w:u w:val="single"/>
        </w:rPr>
        <w:t>（投标人单位名称）</w:t>
      </w:r>
      <w:r>
        <w:rPr>
          <w:rFonts w:ascii="Times New Roman" w:hAnsi="Times New Roman"/>
          <w:color w:val="auto"/>
          <w:szCs w:val="21"/>
          <w:highlight w:val="none"/>
        </w:rPr>
        <w:t>的法定代表人</w:t>
      </w:r>
    </w:p>
    <w:p>
      <w:pPr>
        <w:spacing w:line="360" w:lineRule="auto"/>
        <w:ind w:firstLine="525" w:firstLineChars="250"/>
        <w:rPr>
          <w:rFonts w:ascii="Times New Roman" w:hAnsi="Times New Roman"/>
          <w:color w:val="auto"/>
          <w:szCs w:val="21"/>
          <w:highlight w:val="none"/>
        </w:rPr>
      </w:pPr>
      <w:r>
        <w:rPr>
          <w:rFonts w:ascii="Times New Roman" w:hAnsi="Times New Roman"/>
          <w:color w:val="auto"/>
          <w:szCs w:val="21"/>
          <w:highlight w:val="none"/>
        </w:rPr>
        <w:t>特此证明！</w:t>
      </w:r>
    </w:p>
    <w:p>
      <w:pPr>
        <w:spacing w:line="360" w:lineRule="auto"/>
        <w:ind w:firstLine="525" w:firstLineChars="250"/>
        <w:rPr>
          <w:rFonts w:ascii="Times New Roman" w:hAnsi="Times New Roman"/>
          <w:color w:val="auto"/>
          <w:szCs w:val="21"/>
          <w:highlight w:val="none"/>
        </w:rPr>
      </w:pPr>
    </w:p>
    <w:p>
      <w:pPr>
        <w:spacing w:line="360" w:lineRule="auto"/>
        <w:ind w:firstLine="525" w:firstLineChars="250"/>
        <w:rPr>
          <w:rFonts w:ascii="Times New Roman" w:hAnsi="Times New Roman"/>
          <w:color w:val="auto"/>
          <w:szCs w:val="21"/>
          <w:highlight w:val="none"/>
        </w:rPr>
      </w:pPr>
      <w:r>
        <w:rPr>
          <w:rFonts w:ascii="Times New Roman" w:hAnsi="Times New Roman"/>
          <w:color w:val="auto"/>
          <w:szCs w:val="21"/>
          <w:highlight w:val="none"/>
        </w:rPr>
        <w:t>附：法定代表人身份证复印件（加盖公章）</w:t>
      </w:r>
    </w:p>
    <w:p>
      <w:pPr>
        <w:spacing w:line="360" w:lineRule="auto"/>
        <w:ind w:firstLine="600" w:firstLineChars="250"/>
        <w:rPr>
          <w:rFonts w:ascii="Times New Roman" w:hAnsi="Times New Roman"/>
          <w:color w:val="auto"/>
          <w:sz w:val="24"/>
          <w:highlight w:val="none"/>
        </w:rPr>
      </w:pPr>
    </w:p>
    <w:p>
      <w:pPr>
        <w:spacing w:line="360" w:lineRule="auto"/>
        <w:ind w:firstLine="600" w:firstLineChars="250"/>
        <w:rPr>
          <w:rFonts w:ascii="Times New Roman" w:hAnsi="Times New Roman"/>
          <w:color w:val="auto"/>
          <w:sz w:val="24"/>
          <w:highlight w:val="none"/>
        </w:rPr>
      </w:pPr>
    </w:p>
    <w:p>
      <w:pPr>
        <w:spacing w:line="360" w:lineRule="auto"/>
        <w:ind w:firstLine="600" w:firstLineChars="250"/>
        <w:rPr>
          <w:rFonts w:ascii="Times New Roman" w:hAnsi="Times New Roman"/>
          <w:color w:val="auto"/>
          <w:sz w:val="24"/>
          <w:highlight w:val="none"/>
        </w:rPr>
      </w:pPr>
    </w:p>
    <w:p>
      <w:pPr>
        <w:spacing w:line="360" w:lineRule="auto"/>
        <w:ind w:firstLine="600" w:firstLineChars="250"/>
        <w:rPr>
          <w:rFonts w:ascii="Times New Roman" w:hAnsi="Times New Roman"/>
          <w:color w:val="auto"/>
          <w:sz w:val="24"/>
          <w:highlight w:val="none"/>
        </w:rPr>
      </w:pPr>
    </w:p>
    <w:p>
      <w:pPr>
        <w:autoSpaceDN w:val="0"/>
        <w:spacing w:line="360" w:lineRule="auto"/>
        <w:ind w:firstLine="3360" w:firstLineChars="1600"/>
        <w:jc w:val="right"/>
        <w:rPr>
          <w:rFonts w:ascii="宋体" w:hAnsi="宋体"/>
          <w:color w:val="auto"/>
          <w:szCs w:val="21"/>
          <w:highlight w:val="none"/>
        </w:rPr>
      </w:pPr>
      <w:r>
        <w:rPr>
          <w:rFonts w:ascii="宋体" w:hAnsi="宋体"/>
          <w:color w:val="auto"/>
          <w:szCs w:val="21"/>
          <w:highlight w:val="none"/>
        </w:rPr>
        <w:t>投标人： （盖单位章）</w:t>
      </w:r>
    </w:p>
    <w:p>
      <w:pPr>
        <w:autoSpaceDN w:val="0"/>
        <w:spacing w:line="360" w:lineRule="auto"/>
        <w:ind w:firstLine="3360" w:firstLineChars="1600"/>
        <w:jc w:val="right"/>
        <w:rPr>
          <w:rFonts w:ascii="宋体" w:hAnsi="宋体"/>
          <w:color w:val="auto"/>
          <w:szCs w:val="21"/>
          <w:highlight w:val="none"/>
        </w:rPr>
      </w:pPr>
      <w:r>
        <w:rPr>
          <w:rFonts w:ascii="宋体" w:hAnsi="宋体"/>
          <w:color w:val="auto"/>
          <w:szCs w:val="21"/>
          <w:highlight w:val="none"/>
        </w:rPr>
        <w:t>法定代表人：（签字或</w:t>
      </w:r>
      <w:r>
        <w:rPr>
          <w:rFonts w:hint="eastAsia" w:ascii="宋体" w:hAnsi="宋体"/>
          <w:color w:val="auto"/>
          <w:szCs w:val="21"/>
          <w:highlight w:val="none"/>
        </w:rPr>
        <w:t>盖章</w:t>
      </w:r>
      <w:r>
        <w:rPr>
          <w:rFonts w:ascii="宋体" w:hAnsi="宋体"/>
          <w:color w:val="auto"/>
          <w:szCs w:val="21"/>
          <w:highlight w:val="none"/>
        </w:rPr>
        <w:t>）</w:t>
      </w:r>
    </w:p>
    <w:p>
      <w:pPr>
        <w:autoSpaceDN w:val="0"/>
        <w:spacing w:line="360" w:lineRule="auto"/>
        <w:ind w:firstLine="3360" w:firstLineChars="1600"/>
        <w:jc w:val="right"/>
        <w:rPr>
          <w:rFonts w:hint="default" w:ascii="宋体" w:hAnsi="宋体" w:eastAsia="宋体"/>
          <w:color w:val="auto"/>
          <w:szCs w:val="21"/>
          <w:highlight w:val="none"/>
          <w:lang w:val="en-US" w:eastAsia="zh-CN"/>
        </w:rPr>
      </w:pPr>
      <w:r>
        <w:rPr>
          <w:rFonts w:ascii="宋体" w:hAnsi="宋体"/>
          <w:color w:val="auto"/>
          <w:szCs w:val="21"/>
          <w:highlight w:val="none"/>
        </w:rPr>
        <w:t>日期：</w:t>
      </w:r>
      <w:r>
        <w:rPr>
          <w:rFonts w:hint="eastAsia" w:ascii="宋体" w:hAnsi="宋体"/>
          <w:color w:val="auto"/>
          <w:szCs w:val="21"/>
          <w:highlight w:val="none"/>
          <w:lang w:val="en-US" w:eastAsia="zh-CN"/>
        </w:rPr>
        <w:t xml:space="preserve">     年     月    日</w:t>
      </w:r>
    </w:p>
    <w:p>
      <w:pPr>
        <w:spacing w:line="360" w:lineRule="auto"/>
        <w:ind w:firstLine="3720" w:firstLineChars="1550"/>
        <w:rPr>
          <w:rFonts w:ascii="Times New Roman" w:hAnsi="Times New Roman"/>
          <w:color w:val="auto"/>
          <w:sz w:val="24"/>
          <w:highlight w:val="none"/>
        </w:rPr>
      </w:pPr>
    </w:p>
    <w:p>
      <w:pPr>
        <w:spacing w:line="360" w:lineRule="auto"/>
        <w:ind w:firstLine="3720" w:firstLineChars="1550"/>
        <w:rPr>
          <w:rFonts w:ascii="Times New Roman" w:hAnsi="Times New Roman"/>
          <w:color w:val="auto"/>
          <w:sz w:val="24"/>
          <w:highlight w:val="none"/>
        </w:rPr>
      </w:pPr>
    </w:p>
    <w:p>
      <w:pPr>
        <w:rPr>
          <w:rFonts w:ascii="Times New Roman" w:hAnsi="Times New Roman"/>
          <w:b/>
          <w:color w:val="auto"/>
          <w:sz w:val="32"/>
          <w:highlight w:val="none"/>
        </w:rPr>
      </w:pPr>
      <w:r>
        <w:rPr>
          <w:rFonts w:ascii="Times New Roman" w:hAnsi="Times New Roman"/>
          <w:b/>
          <w:color w:val="auto"/>
          <w:sz w:val="32"/>
          <w:highlight w:val="none"/>
        </w:rPr>
        <w:br w:type="page"/>
      </w:r>
    </w:p>
    <w:p>
      <w:pPr>
        <w:spacing w:line="360" w:lineRule="auto"/>
        <w:jc w:val="center"/>
        <w:rPr>
          <w:rFonts w:ascii="Times New Roman" w:hAnsi="Times New Roman"/>
          <w:b/>
          <w:color w:val="auto"/>
          <w:sz w:val="32"/>
          <w:highlight w:val="none"/>
        </w:rPr>
      </w:pPr>
      <w:r>
        <w:rPr>
          <w:rFonts w:hint="eastAsia" w:ascii="Times New Roman" w:hAnsi="Times New Roman"/>
          <w:b/>
          <w:color w:val="auto"/>
          <w:sz w:val="32"/>
          <w:highlight w:val="none"/>
        </w:rPr>
        <w:t>2、</w:t>
      </w:r>
      <w:r>
        <w:rPr>
          <w:rFonts w:ascii="Times New Roman" w:hAnsi="Times New Roman"/>
          <w:b/>
          <w:color w:val="auto"/>
          <w:sz w:val="32"/>
          <w:highlight w:val="none"/>
        </w:rPr>
        <w:t>授权委托书</w:t>
      </w:r>
    </w:p>
    <w:p>
      <w:pPr>
        <w:adjustRightInd w:val="0"/>
        <w:snapToGrid w:val="0"/>
        <w:spacing w:line="360" w:lineRule="auto"/>
        <w:ind w:firstLine="480" w:firstLineChars="200"/>
        <w:rPr>
          <w:rFonts w:ascii="Times New Roman" w:hAnsi="Times New Roman"/>
          <w:color w:val="auto"/>
          <w:sz w:val="24"/>
          <w:highlight w:val="none"/>
        </w:rPr>
      </w:pPr>
    </w:p>
    <w:p>
      <w:pPr>
        <w:adjustRightInd w:val="0"/>
        <w:snapToGrid w:val="0"/>
        <w:spacing w:line="360" w:lineRule="auto"/>
        <w:ind w:firstLine="420" w:firstLineChars="200"/>
        <w:rPr>
          <w:rFonts w:ascii="Times New Roman" w:hAnsi="Times New Roman"/>
          <w:color w:val="auto"/>
          <w:szCs w:val="21"/>
          <w:highlight w:val="none"/>
          <w:u w:val="single"/>
        </w:rPr>
      </w:pPr>
      <w:r>
        <w:rPr>
          <w:rFonts w:ascii="Times New Roman" w:hAnsi="Times New Roman"/>
          <w:color w:val="auto"/>
          <w:szCs w:val="21"/>
          <w:highlight w:val="none"/>
        </w:rPr>
        <w:t>本授权委托书声明：我</w:t>
      </w:r>
      <w:r>
        <w:rPr>
          <w:rFonts w:ascii="Times New Roman" w:hAnsi="Times New Roman"/>
          <w:color w:val="auto"/>
          <w:szCs w:val="21"/>
          <w:highlight w:val="none"/>
          <w:u w:val="single"/>
        </w:rPr>
        <w:t>（姓名）</w:t>
      </w:r>
      <w:r>
        <w:rPr>
          <w:rFonts w:ascii="Times New Roman" w:hAnsi="Times New Roman"/>
          <w:color w:val="auto"/>
          <w:szCs w:val="21"/>
          <w:highlight w:val="none"/>
        </w:rPr>
        <w:t>系</w:t>
      </w:r>
      <w:r>
        <w:rPr>
          <w:rFonts w:ascii="Times New Roman" w:hAnsi="Times New Roman"/>
          <w:color w:val="auto"/>
          <w:szCs w:val="21"/>
          <w:highlight w:val="none"/>
          <w:u w:val="single"/>
        </w:rPr>
        <w:t>（投标人单位名称）</w:t>
      </w:r>
      <w:r>
        <w:rPr>
          <w:rFonts w:ascii="Times New Roman" w:hAnsi="Times New Roman"/>
          <w:color w:val="auto"/>
          <w:szCs w:val="21"/>
          <w:highlight w:val="none"/>
        </w:rPr>
        <w:t>的法定代表人，现授权委托</w:t>
      </w:r>
      <w:r>
        <w:rPr>
          <w:rFonts w:ascii="Times New Roman" w:hAnsi="Times New Roman"/>
          <w:color w:val="auto"/>
          <w:szCs w:val="21"/>
          <w:highlight w:val="none"/>
          <w:u w:val="single"/>
        </w:rPr>
        <w:t>（姓名）</w:t>
      </w:r>
      <w:r>
        <w:rPr>
          <w:rFonts w:ascii="Times New Roman" w:hAnsi="Times New Roman"/>
          <w:color w:val="auto"/>
          <w:szCs w:val="21"/>
          <w:highlight w:val="none"/>
        </w:rPr>
        <w:t>为我</w:t>
      </w:r>
      <w:r>
        <w:rPr>
          <w:rFonts w:hint="eastAsia" w:ascii="Times New Roman" w:hAnsi="Times New Roman"/>
          <w:color w:val="auto"/>
          <w:szCs w:val="21"/>
          <w:highlight w:val="none"/>
          <w:lang w:val="en-US" w:eastAsia="zh-CN"/>
        </w:rPr>
        <w:t>司</w:t>
      </w:r>
      <w:r>
        <w:rPr>
          <w:rFonts w:ascii="Times New Roman" w:hAnsi="Times New Roman"/>
          <w:color w:val="auto"/>
          <w:szCs w:val="21"/>
          <w:highlight w:val="none"/>
        </w:rPr>
        <w:t>的代理人，以本公司的名义参加</w:t>
      </w:r>
      <w:r>
        <w:rPr>
          <w:rFonts w:hint="eastAsia" w:ascii="Times New Roman" w:hAnsi="Times New Roman"/>
          <w:color w:val="auto"/>
          <w:szCs w:val="21"/>
          <w:highlight w:val="none"/>
          <w:u w:val="single"/>
        </w:rPr>
        <w:t>（项目名称）</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rPr>
        <w:t>的投标。授权委托人所签署的一切文件和处理与之有关的一切事务，我均予以承认。</w:t>
      </w:r>
    </w:p>
    <w:p>
      <w:pPr>
        <w:spacing w:line="360" w:lineRule="auto"/>
        <w:ind w:firstLine="420" w:firstLineChars="200"/>
        <w:rPr>
          <w:rFonts w:ascii="Times New Roman" w:hAnsi="Times New Roman"/>
          <w:color w:val="auto"/>
          <w:szCs w:val="21"/>
          <w:highlight w:val="none"/>
          <w:u w:val="single"/>
        </w:rPr>
      </w:pPr>
      <w:r>
        <w:rPr>
          <w:rFonts w:hint="eastAsia" w:ascii="Times New Roman" w:hAnsi="Times New Roman"/>
          <w:color w:val="auto"/>
          <w:szCs w:val="21"/>
          <w:highlight w:val="none"/>
        </w:rPr>
        <w:t>委托期限：</w:t>
      </w:r>
      <w:r>
        <w:rPr>
          <w:rFonts w:hint="eastAsia" w:ascii="Times New Roman" w:hAnsi="Times New Roman"/>
          <w:color w:val="auto"/>
          <w:szCs w:val="21"/>
          <w:highlight w:val="none"/>
          <w:u w:val="single"/>
        </w:rPr>
        <w:t xml:space="preserve">                  。</w:t>
      </w:r>
    </w:p>
    <w:p>
      <w:pPr>
        <w:spacing w:line="360" w:lineRule="auto"/>
        <w:ind w:firstLine="420" w:firstLineChars="200"/>
        <w:rPr>
          <w:rFonts w:ascii="Times New Roman" w:hAnsi="Times New Roman"/>
          <w:color w:val="auto"/>
          <w:kern w:val="0"/>
          <w:szCs w:val="21"/>
          <w:highlight w:val="none"/>
        </w:rPr>
      </w:pPr>
      <w:r>
        <w:rPr>
          <w:rFonts w:ascii="Times New Roman" w:hAnsi="Times New Roman"/>
          <w:color w:val="auto"/>
          <w:szCs w:val="21"/>
          <w:highlight w:val="none"/>
        </w:rPr>
        <w:t>代理人无转委权，特此委托。</w:t>
      </w:r>
    </w:p>
    <w:p>
      <w:pPr>
        <w:spacing w:line="360" w:lineRule="auto"/>
        <w:ind w:firstLine="420" w:firstLineChars="200"/>
        <w:rPr>
          <w:rFonts w:ascii="Times New Roman" w:hAnsi="Times New Roman"/>
          <w:color w:val="auto"/>
          <w:kern w:val="0"/>
          <w:szCs w:val="21"/>
          <w:highlight w:val="none"/>
        </w:rPr>
      </w:pPr>
    </w:p>
    <w:p>
      <w:pPr>
        <w:autoSpaceDN w:val="0"/>
        <w:spacing w:line="360" w:lineRule="auto"/>
        <w:rPr>
          <w:rFonts w:hint="default" w:ascii="宋体" w:hAnsi="宋体" w:eastAsia="宋体"/>
          <w:color w:val="auto"/>
          <w:szCs w:val="21"/>
          <w:highlight w:val="none"/>
          <w:u w:val="single"/>
          <w:lang w:val="en-US" w:eastAsia="zh-CN"/>
        </w:rPr>
      </w:pPr>
      <w:r>
        <w:rPr>
          <w:rFonts w:ascii="宋体" w:hAnsi="宋体"/>
          <w:color w:val="auto"/>
          <w:szCs w:val="21"/>
          <w:highlight w:val="none"/>
        </w:rPr>
        <w:t>代理人：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身份证号</w:t>
      </w:r>
      <w:r>
        <w:rPr>
          <w:rFonts w:hint="eastAsia" w:ascii="宋体" w:hAnsi="宋体"/>
          <w:color w:val="auto"/>
          <w:szCs w:val="21"/>
          <w:highlight w:val="none"/>
        </w:rPr>
        <w:t>码</w:t>
      </w:r>
      <w:r>
        <w:rPr>
          <w:rFonts w:ascii="宋体" w:hAnsi="宋体"/>
          <w:color w:val="auto"/>
          <w:szCs w:val="21"/>
          <w:highlight w:val="none"/>
        </w:rPr>
        <w:t>：</w:t>
      </w:r>
      <w:r>
        <w:rPr>
          <w:rFonts w:hint="eastAsia" w:ascii="宋体" w:hAnsi="宋体"/>
          <w:color w:val="auto"/>
          <w:szCs w:val="21"/>
          <w:highlight w:val="none"/>
          <w:u w:val="single"/>
          <w:lang w:val="en-US" w:eastAsia="zh-CN"/>
        </w:rPr>
        <w:t xml:space="preserve">                              </w:t>
      </w:r>
    </w:p>
    <w:p>
      <w:pPr>
        <w:autoSpaceDN w:val="0"/>
        <w:spacing w:line="360" w:lineRule="auto"/>
        <w:rPr>
          <w:rFonts w:hint="default" w:ascii="宋体" w:hAnsi="宋体" w:eastAsia="宋体"/>
          <w:color w:val="auto"/>
          <w:szCs w:val="21"/>
          <w:highlight w:val="none"/>
          <w:u w:val="single"/>
          <w:lang w:val="en-US" w:eastAsia="zh-CN"/>
        </w:rPr>
      </w:pPr>
      <w:r>
        <w:rPr>
          <w:rFonts w:ascii="宋体" w:hAnsi="宋体"/>
          <w:color w:val="auto"/>
          <w:szCs w:val="21"/>
          <w:highlight w:val="none"/>
        </w:rPr>
        <w:t>性别：</w:t>
      </w:r>
      <w:r>
        <w:rPr>
          <w:rFonts w:hint="eastAsia" w:ascii="宋体" w:hAnsi="宋体"/>
          <w:color w:val="auto"/>
          <w:szCs w:val="21"/>
          <w:highlight w:val="none"/>
          <w:u w:val="single"/>
          <w:lang w:val="en-US" w:eastAsia="zh-CN"/>
        </w:rPr>
        <w:t xml:space="preserve">              </w:t>
      </w:r>
      <w:r>
        <w:rPr>
          <w:rFonts w:ascii="宋体" w:hAnsi="宋体"/>
          <w:color w:val="auto"/>
          <w:szCs w:val="21"/>
          <w:highlight w:val="none"/>
        </w:rPr>
        <w:t>年龄：</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工作</w:t>
      </w:r>
      <w:r>
        <w:rPr>
          <w:rFonts w:ascii="宋体" w:hAnsi="宋体"/>
          <w:color w:val="auto"/>
          <w:szCs w:val="21"/>
          <w:highlight w:val="none"/>
        </w:rPr>
        <w:t>单位：</w:t>
      </w:r>
      <w:r>
        <w:rPr>
          <w:rFonts w:hint="eastAsia" w:ascii="宋体" w:hAnsi="宋体"/>
          <w:color w:val="auto"/>
          <w:szCs w:val="21"/>
          <w:highlight w:val="none"/>
          <w:u w:val="single"/>
          <w:lang w:val="en-US" w:eastAsia="zh-CN"/>
        </w:rPr>
        <w:t xml:space="preserve">                          </w:t>
      </w:r>
    </w:p>
    <w:p>
      <w:pPr>
        <w:autoSpaceDN w:val="0"/>
        <w:spacing w:line="360" w:lineRule="auto"/>
        <w:rPr>
          <w:rFonts w:hint="default" w:ascii="宋体" w:hAnsi="宋体" w:eastAsia="宋体"/>
          <w:color w:val="auto"/>
          <w:szCs w:val="21"/>
          <w:highlight w:val="none"/>
          <w:u w:val="single"/>
          <w:lang w:val="en-US" w:eastAsia="zh-CN"/>
        </w:rPr>
      </w:pPr>
      <w:r>
        <w:rPr>
          <w:rFonts w:ascii="宋体" w:hAnsi="宋体"/>
          <w:color w:val="auto"/>
          <w:szCs w:val="21"/>
          <w:highlight w:val="none"/>
        </w:rPr>
        <w:t>部门：</w:t>
      </w:r>
      <w:r>
        <w:rPr>
          <w:rFonts w:hint="eastAsia" w:ascii="宋体" w:hAnsi="宋体"/>
          <w:color w:val="auto"/>
          <w:szCs w:val="21"/>
          <w:highlight w:val="none"/>
          <w:u w:val="single"/>
          <w:lang w:val="en-US" w:eastAsia="zh-CN"/>
        </w:rPr>
        <w:t xml:space="preserve">                   </w:t>
      </w:r>
      <w:r>
        <w:rPr>
          <w:rFonts w:ascii="宋体" w:hAnsi="宋体"/>
          <w:color w:val="auto"/>
          <w:szCs w:val="21"/>
          <w:highlight w:val="none"/>
        </w:rPr>
        <w:t>职务：</w:t>
      </w:r>
      <w:r>
        <w:rPr>
          <w:rFonts w:hint="eastAsia" w:ascii="宋体" w:hAnsi="宋体"/>
          <w:color w:val="auto"/>
          <w:szCs w:val="21"/>
          <w:highlight w:val="none"/>
          <w:u w:val="single"/>
          <w:lang w:val="en-US" w:eastAsia="zh-CN"/>
        </w:rPr>
        <w:t xml:space="preserve">                       </w:t>
      </w:r>
    </w:p>
    <w:p>
      <w:pPr>
        <w:spacing w:line="360" w:lineRule="auto"/>
        <w:ind w:firstLine="420" w:firstLineChars="200"/>
        <w:rPr>
          <w:rFonts w:ascii="Times New Roman" w:hAnsi="Times New Roman"/>
          <w:color w:val="auto"/>
          <w:kern w:val="0"/>
          <w:szCs w:val="21"/>
          <w:highlight w:val="none"/>
        </w:rPr>
      </w:pPr>
    </w:p>
    <w:p>
      <w:pPr>
        <w:spacing w:line="360" w:lineRule="auto"/>
        <w:ind w:firstLine="420" w:firstLineChars="200"/>
        <w:rPr>
          <w:rFonts w:ascii="Times New Roman" w:hAnsi="Times New Roman"/>
          <w:color w:val="auto"/>
          <w:kern w:val="0"/>
          <w:szCs w:val="21"/>
          <w:highlight w:val="none"/>
        </w:rPr>
      </w:pPr>
      <w:r>
        <w:rPr>
          <w:rFonts w:ascii="Times New Roman" w:hAnsi="Times New Roman"/>
          <w:color w:val="auto"/>
          <w:kern w:val="0"/>
          <w:szCs w:val="21"/>
          <w:highlight w:val="none"/>
        </w:rPr>
        <w:t>附：法定代表人身份证复印件</w:t>
      </w:r>
    </w:p>
    <w:p>
      <w:pPr>
        <w:spacing w:line="360" w:lineRule="auto"/>
        <w:ind w:firstLine="420" w:firstLineChars="200"/>
        <w:rPr>
          <w:rFonts w:ascii="Times New Roman" w:hAnsi="Times New Roman"/>
          <w:color w:val="auto"/>
          <w:kern w:val="0"/>
          <w:szCs w:val="21"/>
          <w:highlight w:val="none"/>
        </w:rPr>
      </w:pPr>
    </w:p>
    <w:p>
      <w:pPr>
        <w:spacing w:line="360" w:lineRule="auto"/>
        <w:ind w:firstLine="420" w:firstLineChars="200"/>
        <w:rPr>
          <w:rFonts w:ascii="Times New Roman" w:hAnsi="Times New Roman"/>
          <w:color w:val="auto"/>
          <w:kern w:val="0"/>
          <w:szCs w:val="21"/>
          <w:highlight w:val="none"/>
        </w:rPr>
      </w:pPr>
    </w:p>
    <w:p>
      <w:pPr>
        <w:spacing w:line="360" w:lineRule="auto"/>
        <w:ind w:firstLine="420" w:firstLineChars="200"/>
        <w:rPr>
          <w:rFonts w:ascii="Times New Roman" w:hAnsi="Times New Roman"/>
          <w:color w:val="auto"/>
          <w:kern w:val="0"/>
          <w:szCs w:val="21"/>
          <w:highlight w:val="none"/>
        </w:rPr>
      </w:pPr>
    </w:p>
    <w:p>
      <w:pPr>
        <w:spacing w:line="360" w:lineRule="auto"/>
        <w:ind w:firstLine="420" w:firstLineChars="200"/>
        <w:rPr>
          <w:rFonts w:ascii="Times New Roman" w:hAnsi="Times New Roman"/>
          <w:color w:val="auto"/>
          <w:kern w:val="0"/>
          <w:szCs w:val="21"/>
          <w:highlight w:val="none"/>
        </w:rPr>
      </w:pPr>
    </w:p>
    <w:p>
      <w:pPr>
        <w:spacing w:line="360" w:lineRule="auto"/>
        <w:ind w:firstLine="420" w:firstLineChars="200"/>
        <w:rPr>
          <w:rFonts w:ascii="Times New Roman" w:hAnsi="Times New Roman"/>
          <w:color w:val="auto"/>
          <w:kern w:val="0"/>
          <w:szCs w:val="21"/>
          <w:highlight w:val="none"/>
        </w:rPr>
      </w:pPr>
    </w:p>
    <w:p>
      <w:pPr>
        <w:spacing w:line="360" w:lineRule="auto"/>
        <w:ind w:firstLine="420" w:firstLineChars="200"/>
        <w:rPr>
          <w:rFonts w:ascii="Times New Roman" w:hAnsi="Times New Roman"/>
          <w:color w:val="auto"/>
          <w:kern w:val="0"/>
          <w:szCs w:val="21"/>
          <w:highlight w:val="none"/>
        </w:rPr>
      </w:pPr>
      <w:r>
        <w:rPr>
          <w:rFonts w:ascii="Times New Roman" w:hAnsi="Times New Roman"/>
          <w:color w:val="auto"/>
          <w:kern w:val="0"/>
          <w:szCs w:val="21"/>
          <w:highlight w:val="none"/>
        </w:rPr>
        <w:t>附：</w:t>
      </w:r>
      <w:r>
        <w:rPr>
          <w:rFonts w:hint="eastAsia" w:ascii="Times New Roman" w:hAnsi="Times New Roman"/>
          <w:color w:val="auto"/>
          <w:kern w:val="0"/>
          <w:szCs w:val="21"/>
          <w:highlight w:val="none"/>
          <w:lang w:val="en-US" w:eastAsia="zh-CN"/>
        </w:rPr>
        <w:t>委托代理人</w:t>
      </w:r>
      <w:r>
        <w:rPr>
          <w:rFonts w:ascii="Times New Roman" w:hAnsi="Times New Roman"/>
          <w:color w:val="auto"/>
          <w:kern w:val="0"/>
          <w:szCs w:val="21"/>
          <w:highlight w:val="none"/>
        </w:rPr>
        <w:t>身份证复印件</w:t>
      </w:r>
    </w:p>
    <w:p>
      <w:pPr>
        <w:spacing w:line="360" w:lineRule="auto"/>
        <w:ind w:firstLine="420" w:firstLineChars="200"/>
        <w:rPr>
          <w:rFonts w:ascii="Times New Roman" w:hAnsi="Times New Roman"/>
          <w:color w:val="auto"/>
          <w:kern w:val="0"/>
          <w:szCs w:val="21"/>
          <w:highlight w:val="none"/>
        </w:rPr>
      </w:pPr>
    </w:p>
    <w:p>
      <w:pPr>
        <w:spacing w:line="360" w:lineRule="auto"/>
        <w:ind w:firstLine="420" w:firstLineChars="200"/>
        <w:rPr>
          <w:rFonts w:ascii="Times New Roman" w:hAnsi="Times New Roman"/>
          <w:color w:val="auto"/>
          <w:kern w:val="0"/>
          <w:szCs w:val="21"/>
          <w:highlight w:val="none"/>
        </w:rPr>
      </w:pPr>
    </w:p>
    <w:p>
      <w:pPr>
        <w:spacing w:line="360" w:lineRule="auto"/>
        <w:rPr>
          <w:rFonts w:ascii="Times New Roman" w:hAnsi="Times New Roman"/>
          <w:color w:val="auto"/>
          <w:kern w:val="0"/>
          <w:szCs w:val="21"/>
          <w:highlight w:val="none"/>
        </w:rPr>
      </w:pPr>
    </w:p>
    <w:p>
      <w:pPr>
        <w:autoSpaceDN w:val="0"/>
        <w:spacing w:line="360" w:lineRule="auto"/>
        <w:ind w:firstLine="3360" w:firstLineChars="1600"/>
        <w:jc w:val="right"/>
        <w:rPr>
          <w:rFonts w:ascii="宋体" w:hAnsi="宋体"/>
          <w:color w:val="auto"/>
          <w:szCs w:val="21"/>
          <w:highlight w:val="none"/>
        </w:rPr>
      </w:pPr>
      <w:r>
        <w:rPr>
          <w:rFonts w:ascii="宋体" w:hAnsi="宋体"/>
          <w:color w:val="auto"/>
          <w:szCs w:val="21"/>
          <w:highlight w:val="none"/>
        </w:rPr>
        <w:t>投标人： （盖单位章）</w:t>
      </w:r>
    </w:p>
    <w:p>
      <w:pPr>
        <w:autoSpaceDN w:val="0"/>
        <w:spacing w:line="360" w:lineRule="auto"/>
        <w:ind w:firstLine="3360" w:firstLineChars="1600"/>
        <w:jc w:val="right"/>
        <w:rPr>
          <w:rFonts w:ascii="宋体" w:hAnsi="宋体"/>
          <w:color w:val="auto"/>
          <w:szCs w:val="21"/>
          <w:highlight w:val="none"/>
        </w:rPr>
      </w:pPr>
      <w:r>
        <w:rPr>
          <w:rFonts w:ascii="宋体" w:hAnsi="宋体"/>
          <w:color w:val="auto"/>
          <w:szCs w:val="21"/>
          <w:highlight w:val="none"/>
        </w:rPr>
        <w:t>法定代表人</w:t>
      </w:r>
      <w:r>
        <w:rPr>
          <w:rFonts w:hint="eastAsia" w:ascii="宋体" w:hAnsi="宋体"/>
          <w:color w:val="auto"/>
          <w:szCs w:val="21"/>
          <w:highlight w:val="none"/>
        </w:rPr>
        <w:t>或委托代理人</w:t>
      </w:r>
      <w:r>
        <w:rPr>
          <w:rFonts w:ascii="宋体" w:hAnsi="宋体"/>
          <w:color w:val="auto"/>
          <w:szCs w:val="21"/>
          <w:highlight w:val="none"/>
        </w:rPr>
        <w:t>：（签字或</w:t>
      </w:r>
      <w:r>
        <w:rPr>
          <w:rFonts w:hint="eastAsia" w:ascii="宋体" w:hAnsi="宋体"/>
          <w:color w:val="auto"/>
          <w:szCs w:val="21"/>
          <w:highlight w:val="none"/>
        </w:rPr>
        <w:t>盖章</w:t>
      </w:r>
      <w:r>
        <w:rPr>
          <w:rFonts w:ascii="宋体" w:hAnsi="宋体"/>
          <w:color w:val="auto"/>
          <w:szCs w:val="21"/>
          <w:highlight w:val="none"/>
        </w:rPr>
        <w:t>）</w:t>
      </w:r>
    </w:p>
    <w:p>
      <w:pPr>
        <w:autoSpaceDN w:val="0"/>
        <w:spacing w:line="360" w:lineRule="auto"/>
        <w:ind w:firstLine="3360" w:firstLineChars="1600"/>
        <w:jc w:val="right"/>
        <w:rPr>
          <w:rFonts w:ascii="宋体" w:hAnsi="宋体"/>
          <w:color w:val="auto"/>
          <w:szCs w:val="21"/>
          <w:highlight w:val="none"/>
        </w:rPr>
      </w:pPr>
      <w:r>
        <w:rPr>
          <w:rFonts w:ascii="宋体" w:hAnsi="宋体"/>
          <w:color w:val="auto"/>
          <w:szCs w:val="21"/>
          <w:highlight w:val="none"/>
        </w:rPr>
        <w:t>日期：</w:t>
      </w:r>
      <w:r>
        <w:rPr>
          <w:rFonts w:hint="eastAsia" w:ascii="宋体" w:hAnsi="宋体"/>
          <w:color w:val="auto"/>
          <w:szCs w:val="21"/>
          <w:highlight w:val="none"/>
          <w:lang w:val="en-US" w:eastAsia="zh-CN"/>
        </w:rPr>
        <w:t xml:space="preserve">     年     月    日</w:t>
      </w:r>
    </w:p>
    <w:p>
      <w:pPr>
        <w:spacing w:line="360" w:lineRule="auto"/>
        <w:ind w:firstLine="480" w:firstLineChars="200"/>
        <w:jc w:val="right"/>
        <w:rPr>
          <w:rFonts w:ascii="Times New Roman" w:hAnsi="Times New Roman"/>
          <w:color w:val="auto"/>
          <w:kern w:val="0"/>
          <w:sz w:val="24"/>
          <w:highlight w:val="none"/>
        </w:rPr>
      </w:pPr>
    </w:p>
    <w:p>
      <w:pPr>
        <w:rPr>
          <w:rFonts w:ascii="Times New Roman" w:hAnsi="Times New Roman"/>
          <w:b/>
          <w:color w:val="auto"/>
          <w:sz w:val="30"/>
          <w:highlight w:val="none"/>
        </w:rPr>
      </w:pPr>
      <w:r>
        <w:rPr>
          <w:rFonts w:ascii="Times New Roman" w:hAnsi="Times New Roman"/>
          <w:b/>
          <w:color w:val="auto"/>
          <w:sz w:val="30"/>
          <w:highlight w:val="none"/>
        </w:rPr>
        <w:br w:type="page"/>
      </w:r>
    </w:p>
    <w:p>
      <w:pPr>
        <w:spacing w:line="360" w:lineRule="auto"/>
        <w:jc w:val="center"/>
        <w:rPr>
          <w:rFonts w:ascii="Times New Roman" w:hAnsi="Times New Roman"/>
          <w:b/>
          <w:color w:val="auto"/>
          <w:sz w:val="30"/>
          <w:highlight w:val="none"/>
        </w:rPr>
      </w:pPr>
      <w:r>
        <w:rPr>
          <w:rFonts w:hint="eastAsia" w:ascii="Times New Roman" w:hAnsi="Times New Roman"/>
          <w:b/>
          <w:color w:val="auto"/>
          <w:sz w:val="30"/>
          <w:highlight w:val="none"/>
        </w:rPr>
        <w:t>3、</w:t>
      </w:r>
      <w:r>
        <w:rPr>
          <w:rFonts w:ascii="Times New Roman" w:hAnsi="Times New Roman"/>
          <w:b/>
          <w:color w:val="auto"/>
          <w:sz w:val="30"/>
          <w:highlight w:val="none"/>
        </w:rPr>
        <w:t>诚信承诺书</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致：</w:t>
      </w:r>
      <w:r>
        <w:rPr>
          <w:rFonts w:ascii="Times New Roman" w:hAnsi="Times New Roman"/>
          <w:color w:val="auto"/>
          <w:szCs w:val="21"/>
          <w:highlight w:val="none"/>
          <w:u w:val="single"/>
        </w:rPr>
        <w:t>（招标人名称）</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我方参加你方的</w:t>
      </w:r>
      <w:r>
        <w:rPr>
          <w:rFonts w:hint="eastAsia" w:ascii="Times New Roman" w:hAnsi="Times New Roman"/>
          <w:color w:val="auto"/>
          <w:szCs w:val="21"/>
          <w:highlight w:val="none"/>
          <w:u w:val="single"/>
        </w:rPr>
        <w:t>（项目名称）</w:t>
      </w:r>
      <w:r>
        <w:rPr>
          <w:rFonts w:hint="eastAsia" w:ascii="Times New Roman" w:hAnsi="Times New Roman"/>
          <w:color w:val="auto"/>
          <w:szCs w:val="21"/>
          <w:highlight w:val="none"/>
          <w:u w:val="single"/>
          <w:lang w:val="en-US" w:eastAsia="zh-CN"/>
        </w:rPr>
        <w:t xml:space="preserve">       </w:t>
      </w:r>
      <w:r>
        <w:rPr>
          <w:rFonts w:ascii="Times New Roman" w:hAnsi="Times New Roman"/>
          <w:color w:val="auto"/>
          <w:szCs w:val="21"/>
          <w:highlight w:val="none"/>
        </w:rPr>
        <w:t>（以下简称“本项目”）的投标，现我方向你方慎重承诺：</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1、我单位企业财务和经营状况良好，具备履行合同能力；未处于被责令停业、投标资格被取消或者财产被接管、冻结和破产状态；无因我单位违约或不恰当履约引起的合同争议纠纷及仲裁和诉讼记录。如果我单位经本项目评标委员会评定为中标候选人后，被他人举报并经相关部门核实，确认存在上述不良记录，你方即可取消我方中标资格，并接受处罚。</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2、我单位递交的投标文件中的所有资料都是真实可信的，证件及有关附件是真实的，复印件与原件是一致的，没有弄虚作假。</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3、我单位不组织、不参与串标围标，绝无借资质挂靠、没有出借资质等违法违规行为。</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4、我单位遵守国家廉政相关规定，无失信、行贿等不良行为。</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5、如果以后涉及招标投标方面的投诉举报，我单位将严格按照《江苏省房屋建筑和市政基础设施工程投诉处理实施办法》（苏建规字（2016）4 号）的规定进行投诉，否则，招标人可以不予受理。</w:t>
      </w:r>
    </w:p>
    <w:p>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6、若我单位未能兑现以上承诺，愿意接受你方和监管部门的处罚。</w:t>
      </w:r>
    </w:p>
    <w:p>
      <w:pPr>
        <w:spacing w:line="360" w:lineRule="auto"/>
        <w:ind w:firstLine="422" w:firstLineChars="200"/>
        <w:rPr>
          <w:rFonts w:ascii="Times New Roman" w:hAnsi="Times New Roman"/>
          <w:b/>
          <w:color w:val="auto"/>
          <w:szCs w:val="21"/>
          <w:highlight w:val="none"/>
        </w:rPr>
      </w:pPr>
      <w:r>
        <w:rPr>
          <w:rFonts w:ascii="Times New Roman" w:hAnsi="Times New Roman"/>
          <w:b/>
          <w:color w:val="auto"/>
          <w:szCs w:val="21"/>
          <w:highlight w:val="none"/>
        </w:rPr>
        <w:t>我方承诺：违反上述任何一条承诺，愿意接受任何处罚，包括同意你方取消我方中标资格并不予退还履约保证金，将我方列入黑名单，并上报建设行政主管部门。</w:t>
      </w:r>
    </w:p>
    <w:p>
      <w:pPr>
        <w:spacing w:line="360" w:lineRule="auto"/>
        <w:ind w:firstLine="422" w:firstLineChars="200"/>
        <w:rPr>
          <w:rFonts w:ascii="Times New Roman" w:hAnsi="Times New Roman"/>
          <w:b/>
          <w:color w:val="auto"/>
          <w:szCs w:val="21"/>
          <w:highlight w:val="none"/>
        </w:rPr>
      </w:pPr>
    </w:p>
    <w:p>
      <w:pPr>
        <w:spacing w:line="360" w:lineRule="auto"/>
        <w:ind w:firstLine="420" w:firstLineChars="200"/>
        <w:jc w:val="right"/>
        <w:rPr>
          <w:rFonts w:ascii="Times New Roman" w:hAnsi="Times New Roman"/>
          <w:color w:val="auto"/>
          <w:szCs w:val="21"/>
          <w:highlight w:val="none"/>
        </w:rPr>
      </w:pPr>
      <w:r>
        <w:rPr>
          <w:rFonts w:ascii="Times New Roman" w:hAnsi="Times New Roman"/>
          <w:color w:val="auto"/>
          <w:szCs w:val="21"/>
          <w:highlight w:val="none"/>
        </w:rPr>
        <w:t>投标人 (盖单位公章）：</w:t>
      </w:r>
    </w:p>
    <w:p>
      <w:pPr>
        <w:spacing w:line="360" w:lineRule="auto"/>
        <w:ind w:firstLine="420" w:firstLineChars="200"/>
        <w:jc w:val="right"/>
        <w:rPr>
          <w:rFonts w:ascii="Times New Roman" w:hAnsi="Times New Roman"/>
          <w:color w:val="auto"/>
          <w:szCs w:val="21"/>
          <w:highlight w:val="none"/>
        </w:rPr>
      </w:pPr>
      <w:r>
        <w:rPr>
          <w:rFonts w:ascii="Times New Roman" w:hAnsi="Times New Roman"/>
          <w:color w:val="auto"/>
          <w:szCs w:val="21"/>
          <w:highlight w:val="none"/>
        </w:rPr>
        <w:t>法定代表人或委托代理人(签字或盖章)：</w:t>
      </w:r>
    </w:p>
    <w:p>
      <w:pPr>
        <w:spacing w:line="360" w:lineRule="auto"/>
        <w:rPr>
          <w:rFonts w:ascii="Times New Roman" w:hAnsi="Times New Roman"/>
          <w:color w:val="auto"/>
          <w:szCs w:val="21"/>
          <w:highlight w:val="none"/>
        </w:rPr>
      </w:pPr>
    </w:p>
    <w:p>
      <w:pPr>
        <w:spacing w:line="360" w:lineRule="auto"/>
        <w:ind w:firstLine="420" w:firstLineChars="200"/>
        <w:jc w:val="right"/>
        <w:rPr>
          <w:rFonts w:ascii="Times New Roman" w:hAnsi="Times New Roman"/>
          <w:color w:val="auto"/>
          <w:szCs w:val="21"/>
          <w:highlight w:val="none"/>
        </w:rPr>
      </w:pPr>
      <w:r>
        <w:rPr>
          <w:rFonts w:ascii="Times New Roman" w:hAnsi="Times New Roman"/>
          <w:color w:val="auto"/>
          <w:szCs w:val="21"/>
          <w:highlight w:val="none"/>
        </w:rPr>
        <w:t>日期：</w:t>
      </w:r>
      <w:r>
        <w:rPr>
          <w:rFonts w:hint="eastAsia" w:ascii="Times New Roman" w:hAnsi="Times New Roman"/>
          <w:color w:val="auto"/>
          <w:szCs w:val="21"/>
          <w:highlight w:val="none"/>
          <w:lang w:val="en-US" w:eastAsia="zh-CN"/>
        </w:rPr>
        <w:t xml:space="preserve">  </w:t>
      </w:r>
      <w:r>
        <w:rPr>
          <w:rFonts w:ascii="Times New Roman" w:hAnsi="Times New Roman"/>
          <w:color w:val="auto"/>
          <w:szCs w:val="21"/>
          <w:highlight w:val="none"/>
        </w:rPr>
        <w:t>年</w:t>
      </w:r>
      <w:r>
        <w:rPr>
          <w:rFonts w:hint="eastAsia" w:ascii="Times New Roman" w:hAnsi="Times New Roman"/>
          <w:color w:val="auto"/>
          <w:szCs w:val="21"/>
          <w:highlight w:val="none"/>
          <w:lang w:val="en-US" w:eastAsia="zh-CN"/>
        </w:rPr>
        <w:t xml:space="preserve">   </w:t>
      </w:r>
      <w:r>
        <w:rPr>
          <w:rFonts w:ascii="Times New Roman" w:hAnsi="Times New Roman"/>
          <w:color w:val="auto"/>
          <w:szCs w:val="21"/>
          <w:highlight w:val="none"/>
        </w:rPr>
        <w:t>月</w:t>
      </w:r>
      <w:r>
        <w:rPr>
          <w:rFonts w:hint="eastAsia" w:ascii="Times New Roman" w:hAnsi="Times New Roman"/>
          <w:color w:val="auto"/>
          <w:szCs w:val="21"/>
          <w:highlight w:val="none"/>
          <w:lang w:val="en-US" w:eastAsia="zh-CN"/>
        </w:rPr>
        <w:t xml:space="preserve">   </w:t>
      </w:r>
      <w:r>
        <w:rPr>
          <w:rFonts w:ascii="Times New Roman" w:hAnsi="Times New Roman"/>
          <w:color w:val="auto"/>
          <w:szCs w:val="21"/>
          <w:highlight w:val="none"/>
        </w:rPr>
        <w:t>日</w:t>
      </w:r>
    </w:p>
    <w:p>
      <w:pPr>
        <w:spacing w:line="360" w:lineRule="auto"/>
        <w:ind w:firstLine="480" w:firstLineChars="200"/>
        <w:rPr>
          <w:rFonts w:ascii="Times New Roman" w:hAnsi="Times New Roman"/>
          <w:color w:val="auto"/>
          <w:sz w:val="24"/>
          <w:highlight w:val="none"/>
        </w:rPr>
      </w:pPr>
    </w:p>
    <w:p>
      <w:pPr>
        <w:rPr>
          <w:rFonts w:ascii="Times New Roman" w:hAnsi="Times New Roman"/>
          <w:b/>
          <w:color w:val="auto"/>
          <w:sz w:val="30"/>
          <w:highlight w:val="none"/>
        </w:rPr>
      </w:pPr>
      <w:r>
        <w:rPr>
          <w:rFonts w:ascii="Times New Roman" w:hAnsi="Times New Roman"/>
          <w:b/>
          <w:color w:val="auto"/>
          <w:sz w:val="30"/>
          <w:highlight w:val="none"/>
        </w:rPr>
        <w:br w:type="page"/>
      </w:r>
    </w:p>
    <w:p>
      <w:pPr>
        <w:spacing w:line="360" w:lineRule="auto"/>
        <w:jc w:val="center"/>
        <w:rPr>
          <w:rFonts w:ascii="Times New Roman" w:hAnsi="Times New Roman"/>
          <w:b/>
          <w:color w:val="auto"/>
          <w:sz w:val="30"/>
          <w:highlight w:val="none"/>
        </w:rPr>
      </w:pPr>
      <w:r>
        <w:rPr>
          <w:rFonts w:hint="eastAsia" w:ascii="Times New Roman" w:hAnsi="Times New Roman"/>
          <w:b/>
          <w:color w:val="auto"/>
          <w:sz w:val="30"/>
          <w:highlight w:val="none"/>
        </w:rPr>
        <w:t>5、</w:t>
      </w:r>
      <w:r>
        <w:rPr>
          <w:rFonts w:ascii="Times New Roman" w:hAnsi="Times New Roman"/>
          <w:b/>
          <w:color w:val="auto"/>
          <w:sz w:val="30"/>
          <w:highlight w:val="none"/>
        </w:rPr>
        <w:t>投标函</w:t>
      </w:r>
    </w:p>
    <w:p>
      <w:pPr>
        <w:adjustRightInd w:val="0"/>
        <w:snapToGrid w:val="0"/>
        <w:spacing w:line="360" w:lineRule="auto"/>
        <w:ind w:firstLine="420"/>
        <w:rPr>
          <w:rFonts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color w:val="auto"/>
          <w:szCs w:val="21"/>
          <w:highlight w:val="none"/>
          <w:u w:val="single"/>
        </w:rPr>
        <w:t>（招标人名称）</w:t>
      </w:r>
    </w:p>
    <w:p>
      <w:pPr>
        <w:adjustRightInd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（一）根据已获取的招标文件，按照《中华人民共和国招标投标法》及有关规定，我单位经踏勘现场和研究招标文件后，对</w:t>
      </w:r>
      <w:r>
        <w:rPr>
          <w:rFonts w:hint="eastAsia" w:ascii="宋体" w:hAnsi="宋体" w:cs="宋体"/>
          <w:color w:val="auto"/>
          <w:szCs w:val="21"/>
          <w:highlight w:val="none"/>
          <w:u w:val="single"/>
        </w:rPr>
        <w:t>（项目名称）</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愿以人民币</w:t>
      </w:r>
      <w:r>
        <w:rPr>
          <w:rFonts w:hint="eastAsia" w:ascii="宋体" w:hAnsi="宋体" w:cs="宋体"/>
          <w:color w:val="auto"/>
          <w:szCs w:val="21"/>
          <w:highlight w:val="none"/>
          <w:u w:val="single"/>
        </w:rPr>
        <w:t>(大写)</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元</w:t>
      </w:r>
      <w:r>
        <w:rPr>
          <w:rFonts w:hint="eastAsia" w:ascii="宋体" w:hAnsi="宋体" w:cs="宋体"/>
          <w:color w:val="auto"/>
          <w:szCs w:val="21"/>
          <w:highlight w:val="none"/>
          <w:u w:val="single"/>
        </w:rPr>
        <w:t>（小写：        元）</w:t>
      </w:r>
      <w:r>
        <w:rPr>
          <w:rFonts w:hint="eastAsia" w:ascii="宋体" w:hAnsi="宋体" w:cs="宋体"/>
          <w:color w:val="auto"/>
          <w:szCs w:val="21"/>
          <w:highlight w:val="none"/>
        </w:rPr>
        <w:t>的总价进行报价。</w:t>
      </w:r>
    </w:p>
    <w:p>
      <w:pPr>
        <w:adjustRightInd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（二）质量控制达到</w:t>
      </w:r>
      <w:r>
        <w:rPr>
          <w:rFonts w:hint="eastAsia" w:ascii="宋体" w:hAnsi="宋体" w:cs="宋体"/>
          <w:color w:val="auto"/>
          <w:szCs w:val="21"/>
          <w:highlight w:val="none"/>
          <w:u w:val="single"/>
          <w:lang w:val="en-US" w:eastAsia="zh-CN"/>
        </w:rPr>
        <w:t xml:space="preserve"> 符合现行国家有关技术规范、标准、规程的等方面的要求 </w:t>
      </w:r>
      <w:r>
        <w:rPr>
          <w:rFonts w:hint="eastAsia" w:ascii="宋体" w:hAnsi="宋体" w:cs="宋体"/>
          <w:color w:val="auto"/>
          <w:szCs w:val="21"/>
          <w:highlight w:val="none"/>
        </w:rPr>
        <w:t>。</w:t>
      </w:r>
    </w:p>
    <w:p>
      <w:pPr>
        <w:adjustRightInd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（三）如果贵方接受我单位的投标，我单位保证按招标文件规定的期限和要求完成并交付合同的全部检测文件，并承担相应的费用。</w:t>
      </w:r>
    </w:p>
    <w:p>
      <w:pPr>
        <w:adjustRightInd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四</w:t>
      </w:r>
      <w:r>
        <w:rPr>
          <w:rFonts w:hint="eastAsia" w:ascii="宋体" w:hAnsi="宋体" w:cs="宋体"/>
          <w:color w:val="auto"/>
          <w:szCs w:val="21"/>
          <w:highlight w:val="none"/>
        </w:rPr>
        <w:t>）我单位将严格按国家相关法律、法规、技术规范、设计要求及我方制定的勘察纲要工作，在保证质量、确保安全的前提下，按期交付检测报告。</w:t>
      </w:r>
    </w:p>
    <w:p>
      <w:pPr>
        <w:adjustRightInd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五</w:t>
      </w:r>
      <w:r>
        <w:rPr>
          <w:rFonts w:hint="eastAsia" w:ascii="宋体" w:hAnsi="宋体" w:cs="宋体"/>
          <w:color w:val="auto"/>
          <w:szCs w:val="21"/>
          <w:highlight w:val="none"/>
        </w:rPr>
        <w:t>）贵单位的招标文件、中标通知书和本投标文件均为约束我们双方合同的组成部分。</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jc w:val="right"/>
        <w:rPr>
          <w:rFonts w:ascii="宋体" w:hAnsi="宋体" w:cs="宋体"/>
          <w:color w:val="auto"/>
          <w:szCs w:val="21"/>
          <w:highlight w:val="none"/>
        </w:rPr>
      </w:pPr>
      <w:r>
        <w:rPr>
          <w:rFonts w:hint="eastAsia" w:ascii="宋体" w:hAnsi="宋体" w:cs="宋体"/>
          <w:color w:val="auto"/>
          <w:szCs w:val="21"/>
          <w:highlight w:val="none"/>
        </w:rPr>
        <w:t>投标人：（公章）</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jc w:val="right"/>
        <w:rPr>
          <w:rFonts w:ascii="宋体" w:hAnsi="宋体" w:cs="宋体"/>
          <w:color w:val="auto"/>
          <w:szCs w:val="21"/>
          <w:highlight w:val="none"/>
        </w:rPr>
      </w:pPr>
      <w:r>
        <w:rPr>
          <w:rFonts w:hint="eastAsia" w:ascii="宋体" w:hAnsi="宋体" w:cs="宋体"/>
          <w:color w:val="auto"/>
          <w:szCs w:val="21"/>
          <w:highlight w:val="none"/>
        </w:rPr>
        <w:t>法定代表人或委托代理人（签字或盖章）：</w:t>
      </w:r>
    </w:p>
    <w:p>
      <w:pPr>
        <w:adjustRightInd w:val="0"/>
        <w:snapToGrid w:val="0"/>
        <w:spacing w:line="360" w:lineRule="auto"/>
        <w:ind w:firstLine="5700"/>
        <w:jc w:val="righ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  </w:t>
      </w:r>
    </w:p>
    <w:p>
      <w:pPr>
        <w:adjustRightInd w:val="0"/>
        <w:snapToGrid w:val="0"/>
        <w:spacing w:line="360" w:lineRule="auto"/>
        <w:ind w:firstLine="5700"/>
        <w:jc w:val="right"/>
        <w:rPr>
          <w:rFonts w:hint="eastAsia" w:ascii="宋体" w:hAnsi="宋体" w:cs="宋体"/>
          <w:color w:val="auto"/>
          <w:szCs w:val="21"/>
          <w:highlight w:val="none"/>
        </w:rPr>
      </w:pPr>
      <w:r>
        <w:rPr>
          <w:rFonts w:hint="eastAsia" w:ascii="宋体" w:hAnsi="宋体" w:cs="宋体"/>
          <w:color w:val="auto"/>
          <w:szCs w:val="21"/>
          <w:highlight w:val="none"/>
          <w:lang w:val="en-US" w:eastAsia="zh-CN"/>
        </w:rPr>
        <w:t xml:space="preserve">日期：    </w:t>
      </w:r>
      <w:r>
        <w:rPr>
          <w:rFonts w:hint="eastAsia" w:ascii="宋体" w:hAnsi="宋体" w:cs="宋体"/>
          <w:color w:val="auto"/>
          <w:szCs w:val="21"/>
          <w:highlight w:val="none"/>
        </w:rPr>
        <w:t>年  月  日</w:t>
      </w: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numPr>
          <w:ilvl w:val="0"/>
          <w:numId w:val="4"/>
        </w:numPr>
        <w:spacing w:line="360" w:lineRule="auto"/>
        <w:jc w:val="center"/>
        <w:rPr>
          <w:rFonts w:hint="eastAsia" w:ascii="Times New Roman" w:hAnsi="Times New Roman"/>
          <w:b/>
          <w:color w:val="auto"/>
          <w:sz w:val="30"/>
          <w:highlight w:val="none"/>
          <w:lang w:val="en-US" w:eastAsia="zh-CN"/>
        </w:rPr>
      </w:pPr>
      <w:r>
        <w:rPr>
          <w:rFonts w:hint="eastAsia" w:ascii="Times New Roman" w:hAnsi="Times New Roman"/>
          <w:b/>
          <w:color w:val="auto"/>
          <w:sz w:val="30"/>
          <w:highlight w:val="none"/>
          <w:lang w:val="en-US" w:eastAsia="zh-CN"/>
        </w:rPr>
        <w:t>报价清单</w:t>
      </w:r>
    </w:p>
    <w:p>
      <w:pPr>
        <w:numPr>
          <w:ilvl w:val="0"/>
          <w:numId w:val="0"/>
        </w:numPr>
        <w:spacing w:line="360" w:lineRule="auto"/>
        <w:jc w:val="both"/>
        <w:rPr>
          <w:rFonts w:hint="eastAsia" w:ascii="Times New Roman" w:hAnsi="Times New Roman"/>
          <w:b/>
          <w:color w:val="auto"/>
          <w:sz w:val="30"/>
          <w:highlight w:val="none"/>
          <w:lang w:val="en-US" w:eastAsia="zh-CN"/>
        </w:rPr>
      </w:pPr>
    </w:p>
    <w:tbl>
      <w:tblPr>
        <w:tblStyle w:val="15"/>
        <w:tblW w:w="0" w:type="auto"/>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1962"/>
        <w:gridCol w:w="1170"/>
        <w:gridCol w:w="112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br w:type="page"/>
            </w:r>
            <w:r>
              <w:rPr>
                <w:rFonts w:hint="eastAsia" w:ascii="宋体" w:hAnsi="宋体" w:eastAsia="宋体" w:cs="宋体"/>
                <w:color w:val="000000"/>
                <w:sz w:val="21"/>
                <w:szCs w:val="21"/>
              </w:rPr>
              <w:t>序号</w:t>
            </w:r>
          </w:p>
        </w:tc>
        <w:tc>
          <w:tcPr>
            <w:tcW w:w="226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 目 名 称</w:t>
            </w:r>
          </w:p>
        </w:tc>
        <w:tc>
          <w:tcPr>
            <w:tcW w:w="1962" w:type="dxa"/>
            <w:noWrap w:val="0"/>
            <w:tcMar>
              <w:top w:w="28" w:type="dxa"/>
              <w:left w:w="57" w:type="dxa"/>
              <w:bottom w:w="28" w:type="dxa"/>
              <w:right w:w="57" w:type="dxa"/>
            </w:tcMar>
            <w:vAlign w:val="center"/>
          </w:tcPr>
          <w:p>
            <w:pPr>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道路照明管线长度暂估（km）</w:t>
            </w:r>
          </w:p>
        </w:tc>
        <w:tc>
          <w:tcPr>
            <w:tcW w:w="117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单价</w:t>
            </w:r>
            <w:r>
              <w:rPr>
                <w:rFonts w:hint="eastAsia" w:ascii="宋体" w:hAnsi="宋体" w:cs="宋体"/>
                <w:color w:val="000000"/>
                <w:sz w:val="21"/>
                <w:szCs w:val="21"/>
                <w:lang w:eastAsia="zh-CN"/>
              </w:rPr>
              <w:t>（</w:t>
            </w:r>
            <w:r>
              <w:rPr>
                <w:rFonts w:hint="eastAsia" w:ascii="宋体" w:hAnsi="宋体" w:cs="宋体"/>
                <w:color w:val="000000"/>
                <w:sz w:val="21"/>
                <w:szCs w:val="21"/>
                <w:lang w:val="en-US" w:eastAsia="zh-CN"/>
              </w:rPr>
              <w:t>元/km</w:t>
            </w:r>
            <w:r>
              <w:rPr>
                <w:rFonts w:hint="eastAsia" w:ascii="宋体" w:hAnsi="宋体" w:cs="宋体"/>
                <w:color w:val="000000"/>
                <w:sz w:val="21"/>
                <w:szCs w:val="21"/>
                <w:lang w:eastAsia="zh-CN"/>
              </w:rPr>
              <w:t>）</w:t>
            </w:r>
          </w:p>
        </w:tc>
        <w:tc>
          <w:tcPr>
            <w:tcW w:w="1121"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小计（元）</w:t>
            </w: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850"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268"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南通创新区通沪大道以北区域部分照明设施电子测绘</w:t>
            </w:r>
          </w:p>
          <w:p>
            <w:pPr>
              <w:rPr>
                <w:rFonts w:hint="eastAsia" w:ascii="宋体" w:hAnsi="宋体" w:eastAsia="宋体" w:cs="宋体"/>
                <w:color w:val="000000"/>
                <w:sz w:val="21"/>
                <w:szCs w:val="21"/>
              </w:rPr>
            </w:pPr>
          </w:p>
        </w:tc>
        <w:tc>
          <w:tcPr>
            <w:tcW w:w="1962" w:type="dxa"/>
            <w:noWrap w:val="0"/>
            <w:tcMar>
              <w:top w:w="28" w:type="dxa"/>
              <w:left w:w="57" w:type="dxa"/>
              <w:bottom w:w="28" w:type="dxa"/>
              <w:right w:w="57" w:type="dxa"/>
            </w:tcMar>
            <w:vAlign w:val="center"/>
          </w:tcPr>
          <w:p>
            <w:pPr>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50</w:t>
            </w:r>
          </w:p>
        </w:tc>
        <w:tc>
          <w:tcPr>
            <w:tcW w:w="1170" w:type="dxa"/>
            <w:noWrap w:val="0"/>
            <w:tcMar>
              <w:top w:w="28" w:type="dxa"/>
              <w:left w:w="57" w:type="dxa"/>
              <w:bottom w:w="28" w:type="dxa"/>
              <w:right w:w="57" w:type="dxa"/>
            </w:tcMar>
            <w:vAlign w:val="center"/>
          </w:tcPr>
          <w:p>
            <w:pPr>
              <w:wordWrap w:val="0"/>
              <w:jc w:val="center"/>
              <w:rPr>
                <w:rFonts w:hint="eastAsia" w:ascii="宋体" w:hAnsi="宋体" w:eastAsia="宋体" w:cs="宋体"/>
                <w:color w:val="000000"/>
                <w:sz w:val="21"/>
                <w:szCs w:val="21"/>
              </w:rPr>
            </w:pPr>
          </w:p>
        </w:tc>
        <w:tc>
          <w:tcPr>
            <w:tcW w:w="1121" w:type="dxa"/>
            <w:noWrap w:val="0"/>
            <w:tcMar>
              <w:top w:w="28" w:type="dxa"/>
              <w:left w:w="57" w:type="dxa"/>
              <w:bottom w:w="28" w:type="dxa"/>
              <w:right w:w="113" w:type="dxa"/>
            </w:tcMar>
            <w:vAlign w:val="center"/>
          </w:tcPr>
          <w:p>
            <w:pPr>
              <w:jc w:val="right"/>
              <w:rPr>
                <w:rFonts w:hint="eastAsia" w:ascii="宋体" w:hAnsi="宋体" w:eastAsia="宋体" w:cs="宋体"/>
                <w:color w:val="000000"/>
                <w:sz w:val="21"/>
                <w:szCs w:val="21"/>
              </w:rPr>
            </w:pPr>
          </w:p>
        </w:tc>
        <w:tc>
          <w:tcPr>
            <w:tcW w:w="1417" w:type="dxa"/>
            <w:noWrap w:val="0"/>
            <w:tcMar>
              <w:top w:w="28" w:type="dxa"/>
              <w:left w:w="57" w:type="dxa"/>
              <w:bottom w:w="28" w:type="dxa"/>
              <w:right w:w="57" w:type="dxa"/>
            </w:tcMar>
            <w:vAlign w:val="center"/>
          </w:tcPr>
          <w:p>
            <w:pPr>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8788" w:type="dxa"/>
            <w:gridSpan w:val="6"/>
            <w:noWrap w:val="0"/>
            <w:tcMar>
              <w:top w:w="28" w:type="dxa"/>
              <w:left w:w="57" w:type="dxa"/>
              <w:bottom w:w="28" w:type="dxa"/>
              <w:right w:w="57" w:type="dxa"/>
            </w:tcMar>
            <w:vAlign w:val="center"/>
          </w:tcPr>
          <w:p>
            <w:pPr>
              <w:ind w:firstLine="105" w:firstLineChars="50"/>
              <w:rPr>
                <w:rFonts w:hint="eastAsia" w:ascii="宋体" w:hAnsi="宋体" w:eastAsia="宋体" w:cs="宋体"/>
                <w:color w:val="000000"/>
                <w:sz w:val="21"/>
                <w:szCs w:val="21"/>
              </w:rPr>
            </w:pPr>
            <w:r>
              <w:rPr>
                <w:rFonts w:hint="eastAsia" w:ascii="宋体" w:hAnsi="宋体" w:cs="宋体"/>
                <w:color w:val="000000"/>
                <w:sz w:val="21"/>
                <w:szCs w:val="21"/>
                <w:lang w:val="en-US" w:eastAsia="zh-CN"/>
              </w:rPr>
              <w:t>总价</w:t>
            </w:r>
            <w:r>
              <w:rPr>
                <w:rFonts w:hint="eastAsia" w:ascii="宋体" w:hAnsi="宋体" w:eastAsia="宋体" w:cs="宋体"/>
                <w:color w:val="000000"/>
                <w:sz w:val="21"/>
                <w:szCs w:val="21"/>
              </w:rPr>
              <w:t>：</w:t>
            </w:r>
            <w:r>
              <w:rPr>
                <w:rFonts w:hint="eastAsia" w:ascii="宋体" w:hAnsi="宋体" w:cs="宋体"/>
                <w:color w:val="auto"/>
                <w:szCs w:val="21"/>
                <w:highlight w:val="none"/>
              </w:rPr>
              <w:t>人民币</w:t>
            </w:r>
            <w:r>
              <w:rPr>
                <w:rFonts w:hint="eastAsia" w:ascii="宋体" w:hAnsi="宋体" w:cs="宋体"/>
                <w:color w:val="auto"/>
                <w:szCs w:val="21"/>
                <w:highlight w:val="none"/>
                <w:u w:val="single"/>
              </w:rPr>
              <w:t>(大写)</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元</w:t>
            </w:r>
            <w:r>
              <w:rPr>
                <w:rFonts w:hint="eastAsia" w:ascii="宋体" w:hAnsi="宋体" w:cs="宋体"/>
                <w:color w:val="auto"/>
                <w:szCs w:val="21"/>
                <w:highlight w:val="none"/>
                <w:u w:val="single"/>
              </w:rPr>
              <w:t>（小写：        元）</w:t>
            </w:r>
          </w:p>
        </w:tc>
      </w:tr>
    </w:tbl>
    <w:p>
      <w:pPr>
        <w:numPr>
          <w:ilvl w:val="0"/>
          <w:numId w:val="0"/>
        </w:numPr>
        <w:adjustRightInd w:val="0"/>
        <w:snapToGrid w:val="0"/>
        <w:spacing w:line="360" w:lineRule="auto"/>
        <w:ind w:left="2835" w:leftChars="0"/>
        <w:jc w:val="both"/>
        <w:rPr>
          <w:rFonts w:hint="default" w:ascii="宋体" w:hAnsi="宋体" w:cs="宋体"/>
          <w:color w:val="auto"/>
          <w:szCs w:val="21"/>
          <w:highlight w:val="none"/>
          <w:lang w:val="en-US" w:eastAsia="zh-CN"/>
        </w:rPr>
      </w:pPr>
    </w:p>
    <w:p>
      <w:pPr>
        <w:adjustRightInd w:val="0"/>
        <w:snapToGrid w:val="0"/>
        <w:spacing w:line="360" w:lineRule="auto"/>
        <w:ind w:firstLine="5700"/>
        <w:rPr>
          <w:rFonts w:ascii="Times New Roman" w:hAnsi="Times New Roman"/>
          <w:color w:val="auto"/>
          <w:sz w:val="24"/>
          <w:highlight w:val="none"/>
        </w:rPr>
      </w:pPr>
    </w:p>
    <w:p>
      <w:pPr>
        <w:adjustRightInd w:val="0"/>
        <w:snapToGrid w:val="0"/>
        <w:spacing w:line="360" w:lineRule="auto"/>
        <w:ind w:firstLine="5700"/>
        <w:rPr>
          <w:rFonts w:ascii="Times New Roman" w:hAnsi="Times New Roman"/>
          <w:color w:val="auto"/>
          <w:sz w:val="24"/>
          <w:highlight w:val="none"/>
        </w:rPr>
      </w:pPr>
    </w:p>
    <w:p>
      <w:pPr>
        <w:spacing w:line="360" w:lineRule="auto"/>
        <w:ind w:firstLine="420" w:firstLineChars="200"/>
        <w:jc w:val="right"/>
        <w:rPr>
          <w:rFonts w:ascii="Times New Roman" w:hAnsi="Times New Roman"/>
          <w:color w:val="auto"/>
          <w:szCs w:val="21"/>
          <w:highlight w:val="none"/>
        </w:rPr>
      </w:pPr>
      <w:r>
        <w:rPr>
          <w:rFonts w:ascii="Times New Roman" w:hAnsi="Times New Roman"/>
          <w:color w:val="auto"/>
          <w:szCs w:val="21"/>
          <w:highlight w:val="none"/>
        </w:rPr>
        <w:t>投标人 (盖单位公章）：</w:t>
      </w:r>
    </w:p>
    <w:p>
      <w:pPr>
        <w:spacing w:line="360" w:lineRule="auto"/>
        <w:ind w:firstLine="420" w:firstLineChars="200"/>
        <w:jc w:val="right"/>
        <w:rPr>
          <w:rFonts w:ascii="Times New Roman" w:hAnsi="Times New Roman"/>
          <w:color w:val="auto"/>
          <w:szCs w:val="21"/>
          <w:highlight w:val="none"/>
        </w:rPr>
      </w:pPr>
      <w:r>
        <w:rPr>
          <w:rFonts w:ascii="Times New Roman" w:hAnsi="Times New Roman"/>
          <w:color w:val="auto"/>
          <w:szCs w:val="21"/>
          <w:highlight w:val="none"/>
        </w:rPr>
        <w:t>法定代表人或委托代理人(签字或盖章)：</w:t>
      </w:r>
    </w:p>
    <w:p>
      <w:pPr>
        <w:spacing w:line="360" w:lineRule="auto"/>
        <w:rPr>
          <w:rFonts w:ascii="Times New Roman" w:hAnsi="Times New Roman"/>
          <w:color w:val="auto"/>
          <w:szCs w:val="21"/>
          <w:highlight w:val="none"/>
        </w:rPr>
      </w:pPr>
    </w:p>
    <w:p>
      <w:pPr>
        <w:spacing w:line="360" w:lineRule="auto"/>
        <w:ind w:firstLine="420" w:firstLineChars="200"/>
        <w:jc w:val="right"/>
        <w:rPr>
          <w:rFonts w:ascii="Times New Roman" w:hAnsi="Times New Roman"/>
          <w:color w:val="auto"/>
          <w:szCs w:val="21"/>
          <w:highlight w:val="none"/>
        </w:rPr>
      </w:pPr>
      <w:r>
        <w:rPr>
          <w:rFonts w:ascii="Times New Roman" w:hAnsi="Times New Roman"/>
          <w:color w:val="auto"/>
          <w:szCs w:val="21"/>
          <w:highlight w:val="none"/>
        </w:rPr>
        <w:t>日期：</w:t>
      </w:r>
      <w:r>
        <w:rPr>
          <w:rFonts w:hint="eastAsia" w:ascii="Times New Roman" w:hAnsi="Times New Roman"/>
          <w:color w:val="auto"/>
          <w:szCs w:val="21"/>
          <w:highlight w:val="none"/>
          <w:lang w:val="en-US" w:eastAsia="zh-CN"/>
        </w:rPr>
        <w:t xml:space="preserve">  </w:t>
      </w:r>
      <w:r>
        <w:rPr>
          <w:rFonts w:ascii="Times New Roman" w:hAnsi="Times New Roman"/>
          <w:color w:val="auto"/>
          <w:szCs w:val="21"/>
          <w:highlight w:val="none"/>
        </w:rPr>
        <w:t>年</w:t>
      </w:r>
      <w:r>
        <w:rPr>
          <w:rFonts w:hint="eastAsia" w:ascii="Times New Roman" w:hAnsi="Times New Roman"/>
          <w:color w:val="auto"/>
          <w:szCs w:val="21"/>
          <w:highlight w:val="none"/>
          <w:lang w:val="en-US" w:eastAsia="zh-CN"/>
        </w:rPr>
        <w:t xml:space="preserve">   </w:t>
      </w:r>
      <w:r>
        <w:rPr>
          <w:rFonts w:ascii="Times New Roman" w:hAnsi="Times New Roman"/>
          <w:color w:val="auto"/>
          <w:szCs w:val="21"/>
          <w:highlight w:val="none"/>
        </w:rPr>
        <w:t>月</w:t>
      </w:r>
      <w:r>
        <w:rPr>
          <w:rFonts w:hint="eastAsia" w:ascii="Times New Roman" w:hAnsi="Times New Roman"/>
          <w:color w:val="auto"/>
          <w:szCs w:val="21"/>
          <w:highlight w:val="none"/>
          <w:lang w:val="en-US" w:eastAsia="zh-CN"/>
        </w:rPr>
        <w:t xml:space="preserve">   </w:t>
      </w:r>
      <w:r>
        <w:rPr>
          <w:rFonts w:ascii="Times New Roman" w:hAnsi="Times New Roman"/>
          <w:color w:val="auto"/>
          <w:szCs w:val="21"/>
          <w:highlight w:val="none"/>
        </w:rPr>
        <w:t>日</w:t>
      </w:r>
    </w:p>
    <w:p>
      <w:pPr>
        <w:adjustRightInd w:val="0"/>
        <w:snapToGrid w:val="0"/>
        <w:spacing w:line="360" w:lineRule="auto"/>
        <w:ind w:firstLine="5700"/>
        <w:rPr>
          <w:rFonts w:ascii="Times New Roman" w:hAnsi="Times New Roman"/>
          <w:color w:val="auto"/>
          <w:sz w:val="24"/>
          <w:highlight w:val="none"/>
        </w:rPr>
      </w:pPr>
    </w:p>
    <w:sectPr>
      <w:footerReference r:id="rId3" w:type="default"/>
      <w:pgSz w:w="11906" w:h="16838"/>
      <w:pgMar w:top="1440" w:right="1286" w:bottom="1440" w:left="14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278765"/>
              <wp:effectExtent l="0" t="0" r="0" b="0"/>
              <wp:wrapNone/>
              <wp:docPr id="3" name="文本框 1"/>
              <wp:cNvGraphicFramePr/>
              <a:graphic xmlns:a="http://schemas.openxmlformats.org/drawingml/2006/main">
                <a:graphicData uri="http://schemas.microsoft.com/office/word/2010/wordprocessingShape">
                  <wps:wsp>
                    <wps:cNvSpPr txBox="1"/>
                    <wps:spPr>
                      <a:xfrm>
                        <a:off x="0" y="0"/>
                        <a:ext cx="116205" cy="278765"/>
                      </a:xfrm>
                      <a:prstGeom prst="rect">
                        <a:avLst/>
                      </a:prstGeom>
                      <a:noFill/>
                      <a:ln w="15875">
                        <a:noFill/>
                      </a:ln>
                      <a:effectLst/>
                    </wps:spPr>
                    <wps:txbx>
                      <w:txbxContent>
                        <w:p>
                          <w:pPr>
                            <w:pStyle w:val="11"/>
                            <w:rPr>
                              <w:rStyle w:val="18"/>
                            </w:rPr>
                          </w:pPr>
                          <w:r>
                            <w:fldChar w:fldCharType="begin"/>
                          </w:r>
                          <w:r>
                            <w:rPr>
                              <w:rStyle w:val="18"/>
                            </w:rPr>
                            <w:instrText xml:space="preserve">PAGE  </w:instrText>
                          </w:r>
                          <w:r>
                            <w:fldChar w:fldCharType="separate"/>
                          </w:r>
                          <w:r>
                            <w:rPr>
                              <w:rStyle w:val="18"/>
                            </w:rPr>
                            <w:t>18</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21.95pt;width:9.15pt;mso-position-horizontal:center;mso-position-horizontal-relative:margin;mso-wrap-style:none;z-index:251659264;mso-width-relative:page;mso-height-relative:page;" filled="f" stroked="f" coordsize="21600,21600" o:gfxdata="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hkNpDUAAAAAwEAAA8AAAAAAAAA&#10;AQAgAAAAIgAAAGRycy9kb3ducmV2LnhtbFBLAQIUABQAAAAIAIdO4kCHT+LE3AEAAK8DAAAOAAAA&#10;AAAAAAEAIAAAACMBAABkcnMvZTJvRG9jLnhtbFBLBQYAAAAABgAGAFkBAABxBQAAAAA=&#10;">
              <v:fill on="f" focussize="0,0"/>
              <v:stroke on="f" weight="1.25pt"/>
              <v:imagedata o:title=""/>
              <o:lock v:ext="edit" aspectratio="f"/>
              <v:textbox inset="0mm,0mm,0mm,0mm" style="mso-fit-shape-to-text:t;">
                <w:txbxContent>
                  <w:p>
                    <w:pPr>
                      <w:pStyle w:val="11"/>
                      <w:rPr>
                        <w:rStyle w:val="18"/>
                      </w:rPr>
                    </w:pPr>
                    <w:r>
                      <w:fldChar w:fldCharType="begin"/>
                    </w:r>
                    <w:r>
                      <w:rPr>
                        <w:rStyle w:val="18"/>
                      </w:rPr>
                      <w:instrText xml:space="preserve">PAGE  </w:instrText>
                    </w:r>
                    <w:r>
                      <w:fldChar w:fldCharType="separate"/>
                    </w:r>
                    <w:r>
                      <w:rPr>
                        <w:rStyle w:val="18"/>
                      </w:rP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0C0390"/>
    <w:multiLevelType w:val="singleLevel"/>
    <w:tmpl w:val="F30C0390"/>
    <w:lvl w:ilvl="0" w:tentative="0">
      <w:start w:val="6"/>
      <w:numFmt w:val="decimal"/>
      <w:suff w:val="nothing"/>
      <w:lvlText w:val="%1、"/>
      <w:lvlJc w:val="left"/>
    </w:lvl>
  </w:abstractNum>
  <w:abstractNum w:abstractNumId="1">
    <w:nsid w:val="F4A81259"/>
    <w:multiLevelType w:val="singleLevel"/>
    <w:tmpl w:val="F4A81259"/>
    <w:lvl w:ilvl="0" w:tentative="0">
      <w:start w:val="1"/>
      <w:numFmt w:val="chineseCounting"/>
      <w:suff w:val="nothing"/>
      <w:lvlText w:val="%1、"/>
      <w:lvlJc w:val="left"/>
      <w:rPr>
        <w:rFonts w:hint="eastAsia"/>
      </w:rPr>
    </w:lvl>
  </w:abstractNum>
  <w:abstractNum w:abstractNumId="2">
    <w:nsid w:val="0FE02487"/>
    <w:multiLevelType w:val="singleLevel"/>
    <w:tmpl w:val="0FE02487"/>
    <w:lvl w:ilvl="0" w:tentative="0">
      <w:start w:val="4"/>
      <w:numFmt w:val="chineseCounting"/>
      <w:suff w:val="space"/>
      <w:lvlText w:val="第%1章"/>
      <w:lvlJc w:val="left"/>
      <w:rPr>
        <w:rFonts w:hint="eastAsia"/>
      </w:rPr>
    </w:lvl>
  </w:abstractNum>
  <w:abstractNum w:abstractNumId="3">
    <w:nsid w:val="56835C3A"/>
    <w:multiLevelType w:val="singleLevel"/>
    <w:tmpl w:val="56835C3A"/>
    <w:lvl w:ilvl="0" w:tentative="0">
      <w:start w:val="2"/>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3Y2IwZjM1ZGI2NzAzMjcwMzIwYzE4NmI5OWYwYmUifQ=="/>
  </w:docVars>
  <w:rsids>
    <w:rsidRoot w:val="00C261F8"/>
    <w:rsid w:val="000009C3"/>
    <w:rsid w:val="00001818"/>
    <w:rsid w:val="00001D5F"/>
    <w:rsid w:val="000026A4"/>
    <w:rsid w:val="00003AA7"/>
    <w:rsid w:val="00007A43"/>
    <w:rsid w:val="00013343"/>
    <w:rsid w:val="0001517D"/>
    <w:rsid w:val="00016DA4"/>
    <w:rsid w:val="000174B6"/>
    <w:rsid w:val="00017D2E"/>
    <w:rsid w:val="00020EE1"/>
    <w:rsid w:val="00020F83"/>
    <w:rsid w:val="00022A42"/>
    <w:rsid w:val="00025351"/>
    <w:rsid w:val="0002562F"/>
    <w:rsid w:val="00025C4D"/>
    <w:rsid w:val="000323CF"/>
    <w:rsid w:val="00032A8D"/>
    <w:rsid w:val="00032B89"/>
    <w:rsid w:val="000346C3"/>
    <w:rsid w:val="000367F6"/>
    <w:rsid w:val="00040827"/>
    <w:rsid w:val="00041B2F"/>
    <w:rsid w:val="00042FF9"/>
    <w:rsid w:val="00043DE2"/>
    <w:rsid w:val="00044CB9"/>
    <w:rsid w:val="0004500E"/>
    <w:rsid w:val="00045B33"/>
    <w:rsid w:val="000461E8"/>
    <w:rsid w:val="00047939"/>
    <w:rsid w:val="00050291"/>
    <w:rsid w:val="00050C9D"/>
    <w:rsid w:val="00052D8B"/>
    <w:rsid w:val="000540EC"/>
    <w:rsid w:val="0005512C"/>
    <w:rsid w:val="000602AD"/>
    <w:rsid w:val="00060924"/>
    <w:rsid w:val="0006099C"/>
    <w:rsid w:val="00063420"/>
    <w:rsid w:val="00063D3F"/>
    <w:rsid w:val="00064535"/>
    <w:rsid w:val="00064801"/>
    <w:rsid w:val="00065459"/>
    <w:rsid w:val="00066A07"/>
    <w:rsid w:val="00067644"/>
    <w:rsid w:val="000705CF"/>
    <w:rsid w:val="00071193"/>
    <w:rsid w:val="0007314F"/>
    <w:rsid w:val="00074124"/>
    <w:rsid w:val="0007472F"/>
    <w:rsid w:val="000747D8"/>
    <w:rsid w:val="0007521E"/>
    <w:rsid w:val="00076C68"/>
    <w:rsid w:val="00077118"/>
    <w:rsid w:val="00080705"/>
    <w:rsid w:val="00081159"/>
    <w:rsid w:val="0008171B"/>
    <w:rsid w:val="00081B2D"/>
    <w:rsid w:val="00081CCE"/>
    <w:rsid w:val="00082D2C"/>
    <w:rsid w:val="00082EF5"/>
    <w:rsid w:val="000836AD"/>
    <w:rsid w:val="00084156"/>
    <w:rsid w:val="00084A64"/>
    <w:rsid w:val="000853ED"/>
    <w:rsid w:val="00086463"/>
    <w:rsid w:val="000906AA"/>
    <w:rsid w:val="00091B19"/>
    <w:rsid w:val="000954C3"/>
    <w:rsid w:val="0009590F"/>
    <w:rsid w:val="000963FF"/>
    <w:rsid w:val="000A11C5"/>
    <w:rsid w:val="000A5B29"/>
    <w:rsid w:val="000A74C4"/>
    <w:rsid w:val="000B0154"/>
    <w:rsid w:val="000B0587"/>
    <w:rsid w:val="000B6523"/>
    <w:rsid w:val="000C0ADF"/>
    <w:rsid w:val="000C0B63"/>
    <w:rsid w:val="000C239F"/>
    <w:rsid w:val="000C30AA"/>
    <w:rsid w:val="000C3835"/>
    <w:rsid w:val="000C3DD2"/>
    <w:rsid w:val="000C4CB6"/>
    <w:rsid w:val="000C59D3"/>
    <w:rsid w:val="000C607D"/>
    <w:rsid w:val="000D00E8"/>
    <w:rsid w:val="000D08FD"/>
    <w:rsid w:val="000D1733"/>
    <w:rsid w:val="000D1B40"/>
    <w:rsid w:val="000D2163"/>
    <w:rsid w:val="000D3588"/>
    <w:rsid w:val="000D35D2"/>
    <w:rsid w:val="000D7B30"/>
    <w:rsid w:val="000E05AA"/>
    <w:rsid w:val="000E0C8E"/>
    <w:rsid w:val="000E17F6"/>
    <w:rsid w:val="000E251F"/>
    <w:rsid w:val="000E2928"/>
    <w:rsid w:val="000E32FC"/>
    <w:rsid w:val="000E6F16"/>
    <w:rsid w:val="000E7099"/>
    <w:rsid w:val="000E722A"/>
    <w:rsid w:val="000E7997"/>
    <w:rsid w:val="000F09F7"/>
    <w:rsid w:val="000F1EDD"/>
    <w:rsid w:val="000F35D2"/>
    <w:rsid w:val="000F6842"/>
    <w:rsid w:val="000F7A2D"/>
    <w:rsid w:val="0010004B"/>
    <w:rsid w:val="00100A27"/>
    <w:rsid w:val="001017DE"/>
    <w:rsid w:val="00102846"/>
    <w:rsid w:val="00105050"/>
    <w:rsid w:val="00105A09"/>
    <w:rsid w:val="0010721B"/>
    <w:rsid w:val="0010727A"/>
    <w:rsid w:val="00107FFA"/>
    <w:rsid w:val="00110F92"/>
    <w:rsid w:val="001139D2"/>
    <w:rsid w:val="00120AFB"/>
    <w:rsid w:val="00121B37"/>
    <w:rsid w:val="0012339C"/>
    <w:rsid w:val="00124289"/>
    <w:rsid w:val="00125916"/>
    <w:rsid w:val="001263B3"/>
    <w:rsid w:val="0012659B"/>
    <w:rsid w:val="001267E3"/>
    <w:rsid w:val="001268FB"/>
    <w:rsid w:val="00132B65"/>
    <w:rsid w:val="00133124"/>
    <w:rsid w:val="00133D39"/>
    <w:rsid w:val="0013416E"/>
    <w:rsid w:val="00134199"/>
    <w:rsid w:val="00134BFA"/>
    <w:rsid w:val="0013709D"/>
    <w:rsid w:val="0013742E"/>
    <w:rsid w:val="001401A2"/>
    <w:rsid w:val="001409FA"/>
    <w:rsid w:val="00140D7C"/>
    <w:rsid w:val="00142944"/>
    <w:rsid w:val="00142EAF"/>
    <w:rsid w:val="001433CC"/>
    <w:rsid w:val="00143561"/>
    <w:rsid w:val="00144127"/>
    <w:rsid w:val="00145DE4"/>
    <w:rsid w:val="0014647F"/>
    <w:rsid w:val="00146676"/>
    <w:rsid w:val="001470A0"/>
    <w:rsid w:val="00151E0F"/>
    <w:rsid w:val="00152C63"/>
    <w:rsid w:val="00152E57"/>
    <w:rsid w:val="0015307D"/>
    <w:rsid w:val="001530F2"/>
    <w:rsid w:val="0015397C"/>
    <w:rsid w:val="00154812"/>
    <w:rsid w:val="0015652F"/>
    <w:rsid w:val="00156DE8"/>
    <w:rsid w:val="0015723A"/>
    <w:rsid w:val="00160B68"/>
    <w:rsid w:val="001616BB"/>
    <w:rsid w:val="0016328E"/>
    <w:rsid w:val="00163941"/>
    <w:rsid w:val="00163B25"/>
    <w:rsid w:val="00163FCF"/>
    <w:rsid w:val="001647B5"/>
    <w:rsid w:val="00165316"/>
    <w:rsid w:val="00166132"/>
    <w:rsid w:val="00167552"/>
    <w:rsid w:val="001701F3"/>
    <w:rsid w:val="00170E50"/>
    <w:rsid w:val="00171EBD"/>
    <w:rsid w:val="00172E3F"/>
    <w:rsid w:val="00174A03"/>
    <w:rsid w:val="00175005"/>
    <w:rsid w:val="00176000"/>
    <w:rsid w:val="00176608"/>
    <w:rsid w:val="00176D24"/>
    <w:rsid w:val="00180A19"/>
    <w:rsid w:val="00180AF0"/>
    <w:rsid w:val="001822E6"/>
    <w:rsid w:val="0018480D"/>
    <w:rsid w:val="00186B8D"/>
    <w:rsid w:val="001870B5"/>
    <w:rsid w:val="00190090"/>
    <w:rsid w:val="00193BDC"/>
    <w:rsid w:val="001940CB"/>
    <w:rsid w:val="00194AB4"/>
    <w:rsid w:val="00195DAB"/>
    <w:rsid w:val="00196395"/>
    <w:rsid w:val="001A0A2E"/>
    <w:rsid w:val="001A135F"/>
    <w:rsid w:val="001A3088"/>
    <w:rsid w:val="001A388F"/>
    <w:rsid w:val="001A4968"/>
    <w:rsid w:val="001A50C4"/>
    <w:rsid w:val="001A5FC4"/>
    <w:rsid w:val="001A70DC"/>
    <w:rsid w:val="001B268E"/>
    <w:rsid w:val="001B3111"/>
    <w:rsid w:val="001B3155"/>
    <w:rsid w:val="001B363B"/>
    <w:rsid w:val="001B707C"/>
    <w:rsid w:val="001B7258"/>
    <w:rsid w:val="001B7465"/>
    <w:rsid w:val="001B7833"/>
    <w:rsid w:val="001C07DD"/>
    <w:rsid w:val="001C1CAE"/>
    <w:rsid w:val="001C21C9"/>
    <w:rsid w:val="001C22DB"/>
    <w:rsid w:val="001C3750"/>
    <w:rsid w:val="001C41F0"/>
    <w:rsid w:val="001C4E0C"/>
    <w:rsid w:val="001C5132"/>
    <w:rsid w:val="001C695E"/>
    <w:rsid w:val="001C6F3E"/>
    <w:rsid w:val="001C7933"/>
    <w:rsid w:val="001C7FBF"/>
    <w:rsid w:val="001D0AD6"/>
    <w:rsid w:val="001D126F"/>
    <w:rsid w:val="001D1E4E"/>
    <w:rsid w:val="001D2254"/>
    <w:rsid w:val="001D3D75"/>
    <w:rsid w:val="001D4E98"/>
    <w:rsid w:val="001D5CFF"/>
    <w:rsid w:val="001D6B29"/>
    <w:rsid w:val="001E4039"/>
    <w:rsid w:val="001E53A4"/>
    <w:rsid w:val="001E5635"/>
    <w:rsid w:val="001E57D7"/>
    <w:rsid w:val="001E5975"/>
    <w:rsid w:val="001E688D"/>
    <w:rsid w:val="001E6996"/>
    <w:rsid w:val="001E7DF8"/>
    <w:rsid w:val="001F0024"/>
    <w:rsid w:val="001F0D4B"/>
    <w:rsid w:val="001F192B"/>
    <w:rsid w:val="001F1B52"/>
    <w:rsid w:val="001F2822"/>
    <w:rsid w:val="001F4A37"/>
    <w:rsid w:val="001F6167"/>
    <w:rsid w:val="001F78F7"/>
    <w:rsid w:val="001F793B"/>
    <w:rsid w:val="0020000A"/>
    <w:rsid w:val="00200227"/>
    <w:rsid w:val="00200EC3"/>
    <w:rsid w:val="00201758"/>
    <w:rsid w:val="00201AF6"/>
    <w:rsid w:val="002039D4"/>
    <w:rsid w:val="0020467B"/>
    <w:rsid w:val="00204CD8"/>
    <w:rsid w:val="00204F48"/>
    <w:rsid w:val="002070CC"/>
    <w:rsid w:val="00210944"/>
    <w:rsid w:val="002110AB"/>
    <w:rsid w:val="00211417"/>
    <w:rsid w:val="00212B9E"/>
    <w:rsid w:val="002148A3"/>
    <w:rsid w:val="00214EF5"/>
    <w:rsid w:val="00215843"/>
    <w:rsid w:val="00215C63"/>
    <w:rsid w:val="0021686B"/>
    <w:rsid w:val="002203B6"/>
    <w:rsid w:val="00220684"/>
    <w:rsid w:val="002208E8"/>
    <w:rsid w:val="00221241"/>
    <w:rsid w:val="00222F3A"/>
    <w:rsid w:val="0022329F"/>
    <w:rsid w:val="002234BB"/>
    <w:rsid w:val="0022578A"/>
    <w:rsid w:val="002265BF"/>
    <w:rsid w:val="00230249"/>
    <w:rsid w:val="00230CFF"/>
    <w:rsid w:val="00232009"/>
    <w:rsid w:val="002324FB"/>
    <w:rsid w:val="00233882"/>
    <w:rsid w:val="00233FF2"/>
    <w:rsid w:val="0023654D"/>
    <w:rsid w:val="002374DB"/>
    <w:rsid w:val="00240151"/>
    <w:rsid w:val="0024156F"/>
    <w:rsid w:val="00242D97"/>
    <w:rsid w:val="0024404E"/>
    <w:rsid w:val="002442BA"/>
    <w:rsid w:val="002443A4"/>
    <w:rsid w:val="00244D28"/>
    <w:rsid w:val="002458A2"/>
    <w:rsid w:val="00245AD2"/>
    <w:rsid w:val="00247AD1"/>
    <w:rsid w:val="002506DB"/>
    <w:rsid w:val="0025088A"/>
    <w:rsid w:val="00252FA4"/>
    <w:rsid w:val="00254A72"/>
    <w:rsid w:val="002567D2"/>
    <w:rsid w:val="00257B62"/>
    <w:rsid w:val="00257F50"/>
    <w:rsid w:val="002607BE"/>
    <w:rsid w:val="002610E9"/>
    <w:rsid w:val="002632DE"/>
    <w:rsid w:val="002641FC"/>
    <w:rsid w:val="00264258"/>
    <w:rsid w:val="00264559"/>
    <w:rsid w:val="002647D1"/>
    <w:rsid w:val="00264FB0"/>
    <w:rsid w:val="00265B72"/>
    <w:rsid w:val="00266401"/>
    <w:rsid w:val="00267799"/>
    <w:rsid w:val="00270EC0"/>
    <w:rsid w:val="00270F6C"/>
    <w:rsid w:val="00272134"/>
    <w:rsid w:val="00272C4E"/>
    <w:rsid w:val="00272D58"/>
    <w:rsid w:val="00273A96"/>
    <w:rsid w:val="00274610"/>
    <w:rsid w:val="0027513B"/>
    <w:rsid w:val="002754BD"/>
    <w:rsid w:val="002755F6"/>
    <w:rsid w:val="00277191"/>
    <w:rsid w:val="0027743C"/>
    <w:rsid w:val="0027757E"/>
    <w:rsid w:val="00280356"/>
    <w:rsid w:val="00281298"/>
    <w:rsid w:val="00285B3D"/>
    <w:rsid w:val="00285DE8"/>
    <w:rsid w:val="00287051"/>
    <w:rsid w:val="002875E1"/>
    <w:rsid w:val="00287E4F"/>
    <w:rsid w:val="00291B75"/>
    <w:rsid w:val="00291E70"/>
    <w:rsid w:val="00293EF2"/>
    <w:rsid w:val="00294227"/>
    <w:rsid w:val="00296A77"/>
    <w:rsid w:val="0029734B"/>
    <w:rsid w:val="002979A9"/>
    <w:rsid w:val="00297F20"/>
    <w:rsid w:val="002A1B9C"/>
    <w:rsid w:val="002A23D5"/>
    <w:rsid w:val="002A2CD3"/>
    <w:rsid w:val="002A4582"/>
    <w:rsid w:val="002A48DE"/>
    <w:rsid w:val="002A498D"/>
    <w:rsid w:val="002A4CB0"/>
    <w:rsid w:val="002A4F4F"/>
    <w:rsid w:val="002A7C0E"/>
    <w:rsid w:val="002A7D76"/>
    <w:rsid w:val="002B0E76"/>
    <w:rsid w:val="002B4648"/>
    <w:rsid w:val="002B5941"/>
    <w:rsid w:val="002B7F7D"/>
    <w:rsid w:val="002C0751"/>
    <w:rsid w:val="002C0B4C"/>
    <w:rsid w:val="002C0CBC"/>
    <w:rsid w:val="002C141C"/>
    <w:rsid w:val="002C2005"/>
    <w:rsid w:val="002C2BCC"/>
    <w:rsid w:val="002C5448"/>
    <w:rsid w:val="002C58C9"/>
    <w:rsid w:val="002C6CD7"/>
    <w:rsid w:val="002C6DCC"/>
    <w:rsid w:val="002C745A"/>
    <w:rsid w:val="002C7E35"/>
    <w:rsid w:val="002D0C13"/>
    <w:rsid w:val="002D1480"/>
    <w:rsid w:val="002D1A19"/>
    <w:rsid w:val="002D2900"/>
    <w:rsid w:val="002D2CFF"/>
    <w:rsid w:val="002D3FDC"/>
    <w:rsid w:val="002D406F"/>
    <w:rsid w:val="002D498C"/>
    <w:rsid w:val="002D6B75"/>
    <w:rsid w:val="002E069C"/>
    <w:rsid w:val="002E2E20"/>
    <w:rsid w:val="002E348D"/>
    <w:rsid w:val="002E64DE"/>
    <w:rsid w:val="002E7BA1"/>
    <w:rsid w:val="002F0EA4"/>
    <w:rsid w:val="002F2F26"/>
    <w:rsid w:val="002F2F95"/>
    <w:rsid w:val="002F366F"/>
    <w:rsid w:val="002F5F9D"/>
    <w:rsid w:val="002F60B8"/>
    <w:rsid w:val="002F6732"/>
    <w:rsid w:val="002F701F"/>
    <w:rsid w:val="00301056"/>
    <w:rsid w:val="00302022"/>
    <w:rsid w:val="00302CEE"/>
    <w:rsid w:val="00302FDE"/>
    <w:rsid w:val="0030599B"/>
    <w:rsid w:val="003060E4"/>
    <w:rsid w:val="00307929"/>
    <w:rsid w:val="00307ADB"/>
    <w:rsid w:val="00310A5E"/>
    <w:rsid w:val="003115FB"/>
    <w:rsid w:val="003116C3"/>
    <w:rsid w:val="00311878"/>
    <w:rsid w:val="00313F16"/>
    <w:rsid w:val="0031437F"/>
    <w:rsid w:val="0031499C"/>
    <w:rsid w:val="003155D5"/>
    <w:rsid w:val="00315878"/>
    <w:rsid w:val="00316CFB"/>
    <w:rsid w:val="00316FBA"/>
    <w:rsid w:val="003171E1"/>
    <w:rsid w:val="0031786F"/>
    <w:rsid w:val="0032113B"/>
    <w:rsid w:val="00321407"/>
    <w:rsid w:val="00322EE8"/>
    <w:rsid w:val="003235B2"/>
    <w:rsid w:val="003239D3"/>
    <w:rsid w:val="00323E62"/>
    <w:rsid w:val="003244DD"/>
    <w:rsid w:val="00324742"/>
    <w:rsid w:val="0032474A"/>
    <w:rsid w:val="0032537F"/>
    <w:rsid w:val="003303EC"/>
    <w:rsid w:val="0033069B"/>
    <w:rsid w:val="003310A0"/>
    <w:rsid w:val="003311BF"/>
    <w:rsid w:val="00331489"/>
    <w:rsid w:val="00332B9D"/>
    <w:rsid w:val="003354B4"/>
    <w:rsid w:val="00336D72"/>
    <w:rsid w:val="00341C10"/>
    <w:rsid w:val="0034219F"/>
    <w:rsid w:val="00343E6C"/>
    <w:rsid w:val="00343FF5"/>
    <w:rsid w:val="0034762E"/>
    <w:rsid w:val="003502DB"/>
    <w:rsid w:val="00350C4D"/>
    <w:rsid w:val="0035269A"/>
    <w:rsid w:val="003526DC"/>
    <w:rsid w:val="0035273F"/>
    <w:rsid w:val="003539B6"/>
    <w:rsid w:val="00354E16"/>
    <w:rsid w:val="00357C71"/>
    <w:rsid w:val="00357E4C"/>
    <w:rsid w:val="00360064"/>
    <w:rsid w:val="00361294"/>
    <w:rsid w:val="00362136"/>
    <w:rsid w:val="003630DF"/>
    <w:rsid w:val="003633E9"/>
    <w:rsid w:val="00363530"/>
    <w:rsid w:val="00364C37"/>
    <w:rsid w:val="0036505A"/>
    <w:rsid w:val="00371413"/>
    <w:rsid w:val="0037146C"/>
    <w:rsid w:val="00372042"/>
    <w:rsid w:val="003734D5"/>
    <w:rsid w:val="0037683A"/>
    <w:rsid w:val="00380A46"/>
    <w:rsid w:val="0038194D"/>
    <w:rsid w:val="00381B6C"/>
    <w:rsid w:val="00381CD3"/>
    <w:rsid w:val="0038214E"/>
    <w:rsid w:val="003821BF"/>
    <w:rsid w:val="003824B9"/>
    <w:rsid w:val="00384735"/>
    <w:rsid w:val="00384CE9"/>
    <w:rsid w:val="00385BF4"/>
    <w:rsid w:val="00387CDC"/>
    <w:rsid w:val="00387D31"/>
    <w:rsid w:val="0039019D"/>
    <w:rsid w:val="0039135D"/>
    <w:rsid w:val="00392B75"/>
    <w:rsid w:val="003956B7"/>
    <w:rsid w:val="0039798C"/>
    <w:rsid w:val="00397E38"/>
    <w:rsid w:val="003A0FCF"/>
    <w:rsid w:val="003A1EF5"/>
    <w:rsid w:val="003A3A11"/>
    <w:rsid w:val="003A5C74"/>
    <w:rsid w:val="003A6909"/>
    <w:rsid w:val="003A69A7"/>
    <w:rsid w:val="003A6BC4"/>
    <w:rsid w:val="003A6F31"/>
    <w:rsid w:val="003A7BC1"/>
    <w:rsid w:val="003B0B0F"/>
    <w:rsid w:val="003B174A"/>
    <w:rsid w:val="003B1787"/>
    <w:rsid w:val="003B1903"/>
    <w:rsid w:val="003B36BD"/>
    <w:rsid w:val="003B5168"/>
    <w:rsid w:val="003B630F"/>
    <w:rsid w:val="003B65EC"/>
    <w:rsid w:val="003B68D5"/>
    <w:rsid w:val="003C13D6"/>
    <w:rsid w:val="003C1FB5"/>
    <w:rsid w:val="003C2126"/>
    <w:rsid w:val="003C2A75"/>
    <w:rsid w:val="003C2CBF"/>
    <w:rsid w:val="003C61CC"/>
    <w:rsid w:val="003C74FE"/>
    <w:rsid w:val="003C76BF"/>
    <w:rsid w:val="003C7DF3"/>
    <w:rsid w:val="003D20E7"/>
    <w:rsid w:val="003D5D0A"/>
    <w:rsid w:val="003D73EA"/>
    <w:rsid w:val="003D74B3"/>
    <w:rsid w:val="003D78CE"/>
    <w:rsid w:val="003D7E49"/>
    <w:rsid w:val="003E003C"/>
    <w:rsid w:val="003E0093"/>
    <w:rsid w:val="003E08F3"/>
    <w:rsid w:val="003E0A24"/>
    <w:rsid w:val="003E0F02"/>
    <w:rsid w:val="003E18F7"/>
    <w:rsid w:val="003E1C3E"/>
    <w:rsid w:val="003E28A8"/>
    <w:rsid w:val="003E4A80"/>
    <w:rsid w:val="003E54C0"/>
    <w:rsid w:val="003E6376"/>
    <w:rsid w:val="003E64CF"/>
    <w:rsid w:val="003F0EBD"/>
    <w:rsid w:val="003F0EEC"/>
    <w:rsid w:val="003F1F82"/>
    <w:rsid w:val="003F3150"/>
    <w:rsid w:val="003F39CE"/>
    <w:rsid w:val="003F586A"/>
    <w:rsid w:val="0040015E"/>
    <w:rsid w:val="004002A6"/>
    <w:rsid w:val="00400F86"/>
    <w:rsid w:val="00402552"/>
    <w:rsid w:val="0040317C"/>
    <w:rsid w:val="00403B76"/>
    <w:rsid w:val="00404291"/>
    <w:rsid w:val="00405931"/>
    <w:rsid w:val="00406ED7"/>
    <w:rsid w:val="004114B4"/>
    <w:rsid w:val="00411B49"/>
    <w:rsid w:val="00415BB8"/>
    <w:rsid w:val="00417804"/>
    <w:rsid w:val="0042044D"/>
    <w:rsid w:val="00421F7E"/>
    <w:rsid w:val="004227DC"/>
    <w:rsid w:val="00422FEF"/>
    <w:rsid w:val="004241C4"/>
    <w:rsid w:val="00426952"/>
    <w:rsid w:val="00426C1E"/>
    <w:rsid w:val="00431876"/>
    <w:rsid w:val="0043361A"/>
    <w:rsid w:val="004372A5"/>
    <w:rsid w:val="004376E5"/>
    <w:rsid w:val="004378D4"/>
    <w:rsid w:val="0044044B"/>
    <w:rsid w:val="0044103C"/>
    <w:rsid w:val="00443ECC"/>
    <w:rsid w:val="004446C8"/>
    <w:rsid w:val="004456ED"/>
    <w:rsid w:val="00450BB9"/>
    <w:rsid w:val="00450F3B"/>
    <w:rsid w:val="00450F56"/>
    <w:rsid w:val="0045344F"/>
    <w:rsid w:val="00453CBD"/>
    <w:rsid w:val="004556B0"/>
    <w:rsid w:val="00455779"/>
    <w:rsid w:val="00455A6A"/>
    <w:rsid w:val="00455D03"/>
    <w:rsid w:val="00455D13"/>
    <w:rsid w:val="00455E0F"/>
    <w:rsid w:val="00456161"/>
    <w:rsid w:val="00460E73"/>
    <w:rsid w:val="00462563"/>
    <w:rsid w:val="00462A76"/>
    <w:rsid w:val="00463266"/>
    <w:rsid w:val="004647C2"/>
    <w:rsid w:val="0046481E"/>
    <w:rsid w:val="00465FE3"/>
    <w:rsid w:val="0046748D"/>
    <w:rsid w:val="004704A9"/>
    <w:rsid w:val="0047405C"/>
    <w:rsid w:val="00474CAC"/>
    <w:rsid w:val="00481921"/>
    <w:rsid w:val="00484514"/>
    <w:rsid w:val="004873CB"/>
    <w:rsid w:val="00491493"/>
    <w:rsid w:val="00491E6B"/>
    <w:rsid w:val="00493F77"/>
    <w:rsid w:val="00493FD3"/>
    <w:rsid w:val="00494EC5"/>
    <w:rsid w:val="0049644E"/>
    <w:rsid w:val="004965AA"/>
    <w:rsid w:val="00497273"/>
    <w:rsid w:val="004A1051"/>
    <w:rsid w:val="004A18B9"/>
    <w:rsid w:val="004A3F62"/>
    <w:rsid w:val="004A5788"/>
    <w:rsid w:val="004A6B5E"/>
    <w:rsid w:val="004A6BF5"/>
    <w:rsid w:val="004A731D"/>
    <w:rsid w:val="004B0267"/>
    <w:rsid w:val="004B06D4"/>
    <w:rsid w:val="004B208C"/>
    <w:rsid w:val="004B3270"/>
    <w:rsid w:val="004B51C3"/>
    <w:rsid w:val="004B63B2"/>
    <w:rsid w:val="004C0465"/>
    <w:rsid w:val="004C2EFF"/>
    <w:rsid w:val="004C3CEB"/>
    <w:rsid w:val="004C40F6"/>
    <w:rsid w:val="004C4FBD"/>
    <w:rsid w:val="004C52E9"/>
    <w:rsid w:val="004C56B9"/>
    <w:rsid w:val="004C6747"/>
    <w:rsid w:val="004C76B9"/>
    <w:rsid w:val="004D198A"/>
    <w:rsid w:val="004D2215"/>
    <w:rsid w:val="004D3151"/>
    <w:rsid w:val="004D4B05"/>
    <w:rsid w:val="004D557D"/>
    <w:rsid w:val="004D5BFD"/>
    <w:rsid w:val="004D76AF"/>
    <w:rsid w:val="004D7A16"/>
    <w:rsid w:val="004D7C05"/>
    <w:rsid w:val="004E201C"/>
    <w:rsid w:val="004E20B4"/>
    <w:rsid w:val="004E21D1"/>
    <w:rsid w:val="004E376D"/>
    <w:rsid w:val="004E38C2"/>
    <w:rsid w:val="004E4323"/>
    <w:rsid w:val="004E4570"/>
    <w:rsid w:val="004E4EF6"/>
    <w:rsid w:val="004E5C85"/>
    <w:rsid w:val="004E68F8"/>
    <w:rsid w:val="004E6A9A"/>
    <w:rsid w:val="004E6F1E"/>
    <w:rsid w:val="004E71CB"/>
    <w:rsid w:val="004E7407"/>
    <w:rsid w:val="004E774F"/>
    <w:rsid w:val="004E79D8"/>
    <w:rsid w:val="004E7DBA"/>
    <w:rsid w:val="004F00EA"/>
    <w:rsid w:val="004F1DFE"/>
    <w:rsid w:val="004F3A6F"/>
    <w:rsid w:val="004F4CE6"/>
    <w:rsid w:val="004F54B9"/>
    <w:rsid w:val="00500204"/>
    <w:rsid w:val="00501102"/>
    <w:rsid w:val="00502A8B"/>
    <w:rsid w:val="00503281"/>
    <w:rsid w:val="0050351C"/>
    <w:rsid w:val="00504BF9"/>
    <w:rsid w:val="0050611E"/>
    <w:rsid w:val="00506876"/>
    <w:rsid w:val="005072DA"/>
    <w:rsid w:val="0051054B"/>
    <w:rsid w:val="005127A8"/>
    <w:rsid w:val="00514934"/>
    <w:rsid w:val="00515896"/>
    <w:rsid w:val="005178CE"/>
    <w:rsid w:val="00517E4D"/>
    <w:rsid w:val="005202C4"/>
    <w:rsid w:val="005214AF"/>
    <w:rsid w:val="00522F8B"/>
    <w:rsid w:val="0052381C"/>
    <w:rsid w:val="00523C9C"/>
    <w:rsid w:val="00525C52"/>
    <w:rsid w:val="0052619C"/>
    <w:rsid w:val="005262FC"/>
    <w:rsid w:val="00526F20"/>
    <w:rsid w:val="0052705F"/>
    <w:rsid w:val="00531ED1"/>
    <w:rsid w:val="00531F4A"/>
    <w:rsid w:val="00532233"/>
    <w:rsid w:val="00532644"/>
    <w:rsid w:val="00533AFE"/>
    <w:rsid w:val="00535002"/>
    <w:rsid w:val="005361D8"/>
    <w:rsid w:val="00537F90"/>
    <w:rsid w:val="005402AD"/>
    <w:rsid w:val="00540351"/>
    <w:rsid w:val="0054081C"/>
    <w:rsid w:val="0054189C"/>
    <w:rsid w:val="00543155"/>
    <w:rsid w:val="005453E7"/>
    <w:rsid w:val="00545B61"/>
    <w:rsid w:val="00546357"/>
    <w:rsid w:val="00546460"/>
    <w:rsid w:val="00546E6A"/>
    <w:rsid w:val="005475E6"/>
    <w:rsid w:val="0055006E"/>
    <w:rsid w:val="005503A7"/>
    <w:rsid w:val="00551B1C"/>
    <w:rsid w:val="00551CA8"/>
    <w:rsid w:val="0055262A"/>
    <w:rsid w:val="00553FD9"/>
    <w:rsid w:val="00555A26"/>
    <w:rsid w:val="00560F5B"/>
    <w:rsid w:val="00562564"/>
    <w:rsid w:val="0056381D"/>
    <w:rsid w:val="00563D46"/>
    <w:rsid w:val="00564784"/>
    <w:rsid w:val="00564962"/>
    <w:rsid w:val="00564B42"/>
    <w:rsid w:val="005656C5"/>
    <w:rsid w:val="0056694D"/>
    <w:rsid w:val="00566D0E"/>
    <w:rsid w:val="00566D6F"/>
    <w:rsid w:val="00567560"/>
    <w:rsid w:val="00571044"/>
    <w:rsid w:val="0057262B"/>
    <w:rsid w:val="00573432"/>
    <w:rsid w:val="0057461A"/>
    <w:rsid w:val="00575C30"/>
    <w:rsid w:val="00575C59"/>
    <w:rsid w:val="00575EE5"/>
    <w:rsid w:val="0057649B"/>
    <w:rsid w:val="00583FA4"/>
    <w:rsid w:val="00584721"/>
    <w:rsid w:val="00585FBA"/>
    <w:rsid w:val="00587D38"/>
    <w:rsid w:val="0059022C"/>
    <w:rsid w:val="005906FB"/>
    <w:rsid w:val="00591210"/>
    <w:rsid w:val="005952DC"/>
    <w:rsid w:val="005964BB"/>
    <w:rsid w:val="005A1724"/>
    <w:rsid w:val="005A2780"/>
    <w:rsid w:val="005A34C6"/>
    <w:rsid w:val="005A6095"/>
    <w:rsid w:val="005A611A"/>
    <w:rsid w:val="005A7080"/>
    <w:rsid w:val="005B1348"/>
    <w:rsid w:val="005B1D56"/>
    <w:rsid w:val="005B1DCE"/>
    <w:rsid w:val="005B29AC"/>
    <w:rsid w:val="005B29F6"/>
    <w:rsid w:val="005B5AF3"/>
    <w:rsid w:val="005B5C27"/>
    <w:rsid w:val="005B5FC9"/>
    <w:rsid w:val="005B713D"/>
    <w:rsid w:val="005B7B05"/>
    <w:rsid w:val="005C0B0D"/>
    <w:rsid w:val="005C0D07"/>
    <w:rsid w:val="005C0FCC"/>
    <w:rsid w:val="005C35D6"/>
    <w:rsid w:val="005C3758"/>
    <w:rsid w:val="005C4352"/>
    <w:rsid w:val="005C66AE"/>
    <w:rsid w:val="005C7DF6"/>
    <w:rsid w:val="005D0B01"/>
    <w:rsid w:val="005D1313"/>
    <w:rsid w:val="005D13CF"/>
    <w:rsid w:val="005D19A1"/>
    <w:rsid w:val="005D2AF6"/>
    <w:rsid w:val="005D4881"/>
    <w:rsid w:val="005D5856"/>
    <w:rsid w:val="005D63FB"/>
    <w:rsid w:val="005D672C"/>
    <w:rsid w:val="005D7605"/>
    <w:rsid w:val="005E1DE6"/>
    <w:rsid w:val="005E23F9"/>
    <w:rsid w:val="005E26D9"/>
    <w:rsid w:val="005E4F69"/>
    <w:rsid w:val="005F219A"/>
    <w:rsid w:val="005F2499"/>
    <w:rsid w:val="005F39CD"/>
    <w:rsid w:val="005F3AA2"/>
    <w:rsid w:val="005F5E7D"/>
    <w:rsid w:val="005F65D6"/>
    <w:rsid w:val="005F74F3"/>
    <w:rsid w:val="005F78A3"/>
    <w:rsid w:val="005F7A02"/>
    <w:rsid w:val="0060167B"/>
    <w:rsid w:val="00601EC4"/>
    <w:rsid w:val="0060233D"/>
    <w:rsid w:val="00610AB0"/>
    <w:rsid w:val="0061208A"/>
    <w:rsid w:val="006124AB"/>
    <w:rsid w:val="00612B73"/>
    <w:rsid w:val="006140A9"/>
    <w:rsid w:val="00614D97"/>
    <w:rsid w:val="00615D02"/>
    <w:rsid w:val="00617550"/>
    <w:rsid w:val="00617C7C"/>
    <w:rsid w:val="00617E2D"/>
    <w:rsid w:val="00620049"/>
    <w:rsid w:val="0062126E"/>
    <w:rsid w:val="006217D3"/>
    <w:rsid w:val="00621F8F"/>
    <w:rsid w:val="00623082"/>
    <w:rsid w:val="006236F4"/>
    <w:rsid w:val="006239EE"/>
    <w:rsid w:val="006239FE"/>
    <w:rsid w:val="0062422F"/>
    <w:rsid w:val="006242A6"/>
    <w:rsid w:val="006252F6"/>
    <w:rsid w:val="00625721"/>
    <w:rsid w:val="0063138D"/>
    <w:rsid w:val="0063212E"/>
    <w:rsid w:val="00635C7F"/>
    <w:rsid w:val="00636DDC"/>
    <w:rsid w:val="00637D81"/>
    <w:rsid w:val="006414D1"/>
    <w:rsid w:val="00641CB0"/>
    <w:rsid w:val="00642143"/>
    <w:rsid w:val="006428A3"/>
    <w:rsid w:val="00644432"/>
    <w:rsid w:val="00644C4C"/>
    <w:rsid w:val="00644E66"/>
    <w:rsid w:val="00645312"/>
    <w:rsid w:val="0064600C"/>
    <w:rsid w:val="00646377"/>
    <w:rsid w:val="00651971"/>
    <w:rsid w:val="00652263"/>
    <w:rsid w:val="006545C9"/>
    <w:rsid w:val="00656FD7"/>
    <w:rsid w:val="00660438"/>
    <w:rsid w:val="00660DD7"/>
    <w:rsid w:val="00660F00"/>
    <w:rsid w:val="00663441"/>
    <w:rsid w:val="00665F4A"/>
    <w:rsid w:val="00666C4A"/>
    <w:rsid w:val="00667705"/>
    <w:rsid w:val="006705C1"/>
    <w:rsid w:val="00670DF0"/>
    <w:rsid w:val="00671FF3"/>
    <w:rsid w:val="006720D0"/>
    <w:rsid w:val="00673C06"/>
    <w:rsid w:val="00673EE1"/>
    <w:rsid w:val="00673F9D"/>
    <w:rsid w:val="00676E94"/>
    <w:rsid w:val="00677713"/>
    <w:rsid w:val="006805C0"/>
    <w:rsid w:val="00680646"/>
    <w:rsid w:val="00680832"/>
    <w:rsid w:val="00681917"/>
    <w:rsid w:val="00683F53"/>
    <w:rsid w:val="006845B2"/>
    <w:rsid w:val="006852E1"/>
    <w:rsid w:val="00685A0F"/>
    <w:rsid w:val="00687641"/>
    <w:rsid w:val="00690617"/>
    <w:rsid w:val="00690925"/>
    <w:rsid w:val="006933D9"/>
    <w:rsid w:val="00694D35"/>
    <w:rsid w:val="00695C24"/>
    <w:rsid w:val="00697999"/>
    <w:rsid w:val="00697D9C"/>
    <w:rsid w:val="006A0040"/>
    <w:rsid w:val="006A095C"/>
    <w:rsid w:val="006A1CBF"/>
    <w:rsid w:val="006A2CDC"/>
    <w:rsid w:val="006A3600"/>
    <w:rsid w:val="006A39DC"/>
    <w:rsid w:val="006A3CE5"/>
    <w:rsid w:val="006A45B8"/>
    <w:rsid w:val="006A46C1"/>
    <w:rsid w:val="006A4F4E"/>
    <w:rsid w:val="006A6E31"/>
    <w:rsid w:val="006A7343"/>
    <w:rsid w:val="006B0F71"/>
    <w:rsid w:val="006B113C"/>
    <w:rsid w:val="006B1309"/>
    <w:rsid w:val="006B148B"/>
    <w:rsid w:val="006B2DE3"/>
    <w:rsid w:val="006B43F2"/>
    <w:rsid w:val="006B4858"/>
    <w:rsid w:val="006C0212"/>
    <w:rsid w:val="006C0681"/>
    <w:rsid w:val="006C06DC"/>
    <w:rsid w:val="006C1674"/>
    <w:rsid w:val="006C2F9A"/>
    <w:rsid w:val="006C4297"/>
    <w:rsid w:val="006C745C"/>
    <w:rsid w:val="006C7A95"/>
    <w:rsid w:val="006D07EC"/>
    <w:rsid w:val="006D1213"/>
    <w:rsid w:val="006D14AC"/>
    <w:rsid w:val="006D1F0C"/>
    <w:rsid w:val="006D5AB6"/>
    <w:rsid w:val="006D64D8"/>
    <w:rsid w:val="006D6827"/>
    <w:rsid w:val="006E065F"/>
    <w:rsid w:val="006E07AE"/>
    <w:rsid w:val="006E21A0"/>
    <w:rsid w:val="006E2CBA"/>
    <w:rsid w:val="006E3ABB"/>
    <w:rsid w:val="006E3B36"/>
    <w:rsid w:val="006E5144"/>
    <w:rsid w:val="006E5623"/>
    <w:rsid w:val="006E6230"/>
    <w:rsid w:val="006E6A68"/>
    <w:rsid w:val="006E6D24"/>
    <w:rsid w:val="006E7270"/>
    <w:rsid w:val="006E7435"/>
    <w:rsid w:val="006E75C3"/>
    <w:rsid w:val="006F0BD3"/>
    <w:rsid w:val="006F0FE3"/>
    <w:rsid w:val="006F1ACA"/>
    <w:rsid w:val="006F1C1F"/>
    <w:rsid w:val="006F2210"/>
    <w:rsid w:val="006F3FED"/>
    <w:rsid w:val="006F4AFD"/>
    <w:rsid w:val="006F5354"/>
    <w:rsid w:val="006F5C9C"/>
    <w:rsid w:val="006F634B"/>
    <w:rsid w:val="006F75DE"/>
    <w:rsid w:val="006F7E17"/>
    <w:rsid w:val="006F7F2C"/>
    <w:rsid w:val="00701329"/>
    <w:rsid w:val="007018C7"/>
    <w:rsid w:val="0070308A"/>
    <w:rsid w:val="00710FEE"/>
    <w:rsid w:val="00711A38"/>
    <w:rsid w:val="00712270"/>
    <w:rsid w:val="007133CF"/>
    <w:rsid w:val="00715611"/>
    <w:rsid w:val="00715C51"/>
    <w:rsid w:val="00716823"/>
    <w:rsid w:val="00716BDE"/>
    <w:rsid w:val="00721379"/>
    <w:rsid w:val="00722CF0"/>
    <w:rsid w:val="0072448B"/>
    <w:rsid w:val="00725443"/>
    <w:rsid w:val="00727C6B"/>
    <w:rsid w:val="007302E1"/>
    <w:rsid w:val="0073155A"/>
    <w:rsid w:val="00731F43"/>
    <w:rsid w:val="00733D1B"/>
    <w:rsid w:val="00734DF4"/>
    <w:rsid w:val="007367BF"/>
    <w:rsid w:val="00737F7A"/>
    <w:rsid w:val="007404F0"/>
    <w:rsid w:val="007408A2"/>
    <w:rsid w:val="00740EEF"/>
    <w:rsid w:val="00741052"/>
    <w:rsid w:val="00742748"/>
    <w:rsid w:val="007434E3"/>
    <w:rsid w:val="007443BC"/>
    <w:rsid w:val="00744743"/>
    <w:rsid w:val="00744BFB"/>
    <w:rsid w:val="00744F12"/>
    <w:rsid w:val="00745685"/>
    <w:rsid w:val="007464F3"/>
    <w:rsid w:val="00747B80"/>
    <w:rsid w:val="00747BDC"/>
    <w:rsid w:val="00747D2E"/>
    <w:rsid w:val="00750BE1"/>
    <w:rsid w:val="007527C3"/>
    <w:rsid w:val="007527E9"/>
    <w:rsid w:val="007529CA"/>
    <w:rsid w:val="007539B3"/>
    <w:rsid w:val="00754E89"/>
    <w:rsid w:val="00755021"/>
    <w:rsid w:val="00755225"/>
    <w:rsid w:val="0075676E"/>
    <w:rsid w:val="007567DB"/>
    <w:rsid w:val="00756B56"/>
    <w:rsid w:val="00756CE2"/>
    <w:rsid w:val="00760623"/>
    <w:rsid w:val="0076090B"/>
    <w:rsid w:val="00761F18"/>
    <w:rsid w:val="00762C92"/>
    <w:rsid w:val="00763C05"/>
    <w:rsid w:val="00763DB5"/>
    <w:rsid w:val="00763DE0"/>
    <w:rsid w:val="00763E20"/>
    <w:rsid w:val="00764389"/>
    <w:rsid w:val="007644D6"/>
    <w:rsid w:val="0076489C"/>
    <w:rsid w:val="00766097"/>
    <w:rsid w:val="0076793C"/>
    <w:rsid w:val="0077015F"/>
    <w:rsid w:val="007705EE"/>
    <w:rsid w:val="00772CC3"/>
    <w:rsid w:val="0077420A"/>
    <w:rsid w:val="0077420F"/>
    <w:rsid w:val="00775FE4"/>
    <w:rsid w:val="00777981"/>
    <w:rsid w:val="00781095"/>
    <w:rsid w:val="00782F8C"/>
    <w:rsid w:val="0078415C"/>
    <w:rsid w:val="00785829"/>
    <w:rsid w:val="00785EF5"/>
    <w:rsid w:val="00792729"/>
    <w:rsid w:val="00793B37"/>
    <w:rsid w:val="00793FFF"/>
    <w:rsid w:val="0079432D"/>
    <w:rsid w:val="0079556E"/>
    <w:rsid w:val="00795790"/>
    <w:rsid w:val="00796A59"/>
    <w:rsid w:val="00797CC2"/>
    <w:rsid w:val="007A2E36"/>
    <w:rsid w:val="007A328F"/>
    <w:rsid w:val="007A7BDC"/>
    <w:rsid w:val="007B0FC9"/>
    <w:rsid w:val="007B35C7"/>
    <w:rsid w:val="007B551D"/>
    <w:rsid w:val="007B5F11"/>
    <w:rsid w:val="007B6DDA"/>
    <w:rsid w:val="007B6EB5"/>
    <w:rsid w:val="007C03B4"/>
    <w:rsid w:val="007C0795"/>
    <w:rsid w:val="007C0C11"/>
    <w:rsid w:val="007C1C4D"/>
    <w:rsid w:val="007C2095"/>
    <w:rsid w:val="007C29CC"/>
    <w:rsid w:val="007C2F27"/>
    <w:rsid w:val="007C3C5F"/>
    <w:rsid w:val="007C50D8"/>
    <w:rsid w:val="007C5D0A"/>
    <w:rsid w:val="007C7168"/>
    <w:rsid w:val="007C7F0A"/>
    <w:rsid w:val="007D1BE7"/>
    <w:rsid w:val="007D2559"/>
    <w:rsid w:val="007D2EB9"/>
    <w:rsid w:val="007D36E4"/>
    <w:rsid w:val="007D5568"/>
    <w:rsid w:val="007D58D1"/>
    <w:rsid w:val="007D7DCE"/>
    <w:rsid w:val="007E0950"/>
    <w:rsid w:val="007E349C"/>
    <w:rsid w:val="007E3756"/>
    <w:rsid w:val="007E3B26"/>
    <w:rsid w:val="007E4BA6"/>
    <w:rsid w:val="007E7765"/>
    <w:rsid w:val="007E7A9C"/>
    <w:rsid w:val="007E7D6B"/>
    <w:rsid w:val="007F0D97"/>
    <w:rsid w:val="007F1A19"/>
    <w:rsid w:val="007F3A2A"/>
    <w:rsid w:val="007F3D48"/>
    <w:rsid w:val="007F7253"/>
    <w:rsid w:val="0080118C"/>
    <w:rsid w:val="00801401"/>
    <w:rsid w:val="008028FE"/>
    <w:rsid w:val="00803399"/>
    <w:rsid w:val="00804874"/>
    <w:rsid w:val="00805A19"/>
    <w:rsid w:val="00805E7D"/>
    <w:rsid w:val="00807306"/>
    <w:rsid w:val="0081161E"/>
    <w:rsid w:val="00811F15"/>
    <w:rsid w:val="00812CED"/>
    <w:rsid w:val="00812DAD"/>
    <w:rsid w:val="0081337A"/>
    <w:rsid w:val="00813AB0"/>
    <w:rsid w:val="0081461F"/>
    <w:rsid w:val="0081462F"/>
    <w:rsid w:val="008147BD"/>
    <w:rsid w:val="00814C92"/>
    <w:rsid w:val="00814E34"/>
    <w:rsid w:val="00815E77"/>
    <w:rsid w:val="00816602"/>
    <w:rsid w:val="00817698"/>
    <w:rsid w:val="008205B3"/>
    <w:rsid w:val="008207E0"/>
    <w:rsid w:val="00821A22"/>
    <w:rsid w:val="008239C4"/>
    <w:rsid w:val="0082483E"/>
    <w:rsid w:val="008251B3"/>
    <w:rsid w:val="00827DBE"/>
    <w:rsid w:val="00830CDF"/>
    <w:rsid w:val="008313BE"/>
    <w:rsid w:val="008320EF"/>
    <w:rsid w:val="008344AC"/>
    <w:rsid w:val="00835BA3"/>
    <w:rsid w:val="00835E1E"/>
    <w:rsid w:val="008364EF"/>
    <w:rsid w:val="00840553"/>
    <w:rsid w:val="00840976"/>
    <w:rsid w:val="0084204C"/>
    <w:rsid w:val="0084400A"/>
    <w:rsid w:val="00844780"/>
    <w:rsid w:val="00845B8B"/>
    <w:rsid w:val="00847783"/>
    <w:rsid w:val="00847994"/>
    <w:rsid w:val="008521EA"/>
    <w:rsid w:val="00854145"/>
    <w:rsid w:val="008541D9"/>
    <w:rsid w:val="00855CFD"/>
    <w:rsid w:val="00856B3F"/>
    <w:rsid w:val="00857AFE"/>
    <w:rsid w:val="008612EA"/>
    <w:rsid w:val="00861BA5"/>
    <w:rsid w:val="00862BBB"/>
    <w:rsid w:val="00862FB2"/>
    <w:rsid w:val="008640D0"/>
    <w:rsid w:val="00865670"/>
    <w:rsid w:val="00865A44"/>
    <w:rsid w:val="00867884"/>
    <w:rsid w:val="00867CE7"/>
    <w:rsid w:val="00871F1C"/>
    <w:rsid w:val="00873231"/>
    <w:rsid w:val="00873828"/>
    <w:rsid w:val="008740D6"/>
    <w:rsid w:val="00874625"/>
    <w:rsid w:val="00876B2D"/>
    <w:rsid w:val="0087700E"/>
    <w:rsid w:val="0087718B"/>
    <w:rsid w:val="00877CCE"/>
    <w:rsid w:val="00881BBE"/>
    <w:rsid w:val="00881D19"/>
    <w:rsid w:val="008831CA"/>
    <w:rsid w:val="00883FC6"/>
    <w:rsid w:val="00885234"/>
    <w:rsid w:val="008874FE"/>
    <w:rsid w:val="008915FE"/>
    <w:rsid w:val="008918E3"/>
    <w:rsid w:val="00891927"/>
    <w:rsid w:val="00894852"/>
    <w:rsid w:val="008A0281"/>
    <w:rsid w:val="008A0626"/>
    <w:rsid w:val="008A142B"/>
    <w:rsid w:val="008A2939"/>
    <w:rsid w:val="008A2E11"/>
    <w:rsid w:val="008A3B0E"/>
    <w:rsid w:val="008A45FE"/>
    <w:rsid w:val="008A5383"/>
    <w:rsid w:val="008A5A72"/>
    <w:rsid w:val="008A5C1D"/>
    <w:rsid w:val="008A5D7B"/>
    <w:rsid w:val="008A66B4"/>
    <w:rsid w:val="008A73E3"/>
    <w:rsid w:val="008A7DAE"/>
    <w:rsid w:val="008B146D"/>
    <w:rsid w:val="008B182A"/>
    <w:rsid w:val="008B1D21"/>
    <w:rsid w:val="008B2622"/>
    <w:rsid w:val="008B27E7"/>
    <w:rsid w:val="008B33A4"/>
    <w:rsid w:val="008B36D3"/>
    <w:rsid w:val="008B41AC"/>
    <w:rsid w:val="008B563F"/>
    <w:rsid w:val="008B634D"/>
    <w:rsid w:val="008B6B2E"/>
    <w:rsid w:val="008B7516"/>
    <w:rsid w:val="008B77CD"/>
    <w:rsid w:val="008C002C"/>
    <w:rsid w:val="008C012E"/>
    <w:rsid w:val="008C0139"/>
    <w:rsid w:val="008C0642"/>
    <w:rsid w:val="008C2ED2"/>
    <w:rsid w:val="008C301B"/>
    <w:rsid w:val="008C3F4C"/>
    <w:rsid w:val="008C4AC9"/>
    <w:rsid w:val="008C58CF"/>
    <w:rsid w:val="008C5E70"/>
    <w:rsid w:val="008C5E94"/>
    <w:rsid w:val="008C6B41"/>
    <w:rsid w:val="008C6BCB"/>
    <w:rsid w:val="008C6FCD"/>
    <w:rsid w:val="008C71EC"/>
    <w:rsid w:val="008D0C31"/>
    <w:rsid w:val="008D11B7"/>
    <w:rsid w:val="008D134F"/>
    <w:rsid w:val="008D54C8"/>
    <w:rsid w:val="008D569A"/>
    <w:rsid w:val="008D694B"/>
    <w:rsid w:val="008D73EE"/>
    <w:rsid w:val="008E0239"/>
    <w:rsid w:val="008E07E7"/>
    <w:rsid w:val="008E0E3A"/>
    <w:rsid w:val="008E233E"/>
    <w:rsid w:val="008E4EB0"/>
    <w:rsid w:val="008E6D3D"/>
    <w:rsid w:val="008E704D"/>
    <w:rsid w:val="008F086D"/>
    <w:rsid w:val="008F2142"/>
    <w:rsid w:val="008F2B19"/>
    <w:rsid w:val="008F3AD0"/>
    <w:rsid w:val="008F41DD"/>
    <w:rsid w:val="008F44C4"/>
    <w:rsid w:val="008F49AF"/>
    <w:rsid w:val="008F5DF4"/>
    <w:rsid w:val="008F6719"/>
    <w:rsid w:val="00903916"/>
    <w:rsid w:val="00903F87"/>
    <w:rsid w:val="00904E76"/>
    <w:rsid w:val="00905C91"/>
    <w:rsid w:val="009113D4"/>
    <w:rsid w:val="0091232C"/>
    <w:rsid w:val="009131B9"/>
    <w:rsid w:val="009146BE"/>
    <w:rsid w:val="0091528B"/>
    <w:rsid w:val="00916047"/>
    <w:rsid w:val="00916AAC"/>
    <w:rsid w:val="00916BFC"/>
    <w:rsid w:val="00916E0D"/>
    <w:rsid w:val="0092222C"/>
    <w:rsid w:val="00925290"/>
    <w:rsid w:val="009255EA"/>
    <w:rsid w:val="009259C4"/>
    <w:rsid w:val="00925C95"/>
    <w:rsid w:val="0092680C"/>
    <w:rsid w:val="00927375"/>
    <w:rsid w:val="0093102F"/>
    <w:rsid w:val="00931BA7"/>
    <w:rsid w:val="0093245B"/>
    <w:rsid w:val="00932763"/>
    <w:rsid w:val="009343F8"/>
    <w:rsid w:val="00935009"/>
    <w:rsid w:val="009354DF"/>
    <w:rsid w:val="00935663"/>
    <w:rsid w:val="00935C58"/>
    <w:rsid w:val="0093626B"/>
    <w:rsid w:val="00937DAF"/>
    <w:rsid w:val="00940038"/>
    <w:rsid w:val="00940D49"/>
    <w:rsid w:val="009435A4"/>
    <w:rsid w:val="0094684A"/>
    <w:rsid w:val="00947731"/>
    <w:rsid w:val="0094781F"/>
    <w:rsid w:val="00947ECE"/>
    <w:rsid w:val="0095279C"/>
    <w:rsid w:val="00953958"/>
    <w:rsid w:val="00955C31"/>
    <w:rsid w:val="00955E80"/>
    <w:rsid w:val="00956179"/>
    <w:rsid w:val="009564E1"/>
    <w:rsid w:val="009573D1"/>
    <w:rsid w:val="00957946"/>
    <w:rsid w:val="00961086"/>
    <w:rsid w:val="009632A7"/>
    <w:rsid w:val="0096375B"/>
    <w:rsid w:val="0096391C"/>
    <w:rsid w:val="0096436D"/>
    <w:rsid w:val="00964C32"/>
    <w:rsid w:val="009660AD"/>
    <w:rsid w:val="009663E6"/>
    <w:rsid w:val="00966B27"/>
    <w:rsid w:val="00966DE9"/>
    <w:rsid w:val="00967426"/>
    <w:rsid w:val="00967F0D"/>
    <w:rsid w:val="00970F19"/>
    <w:rsid w:val="0097104F"/>
    <w:rsid w:val="00971C02"/>
    <w:rsid w:val="00972327"/>
    <w:rsid w:val="00972A0A"/>
    <w:rsid w:val="00974DFD"/>
    <w:rsid w:val="0097508D"/>
    <w:rsid w:val="00975F63"/>
    <w:rsid w:val="00977947"/>
    <w:rsid w:val="00977E6A"/>
    <w:rsid w:val="00980872"/>
    <w:rsid w:val="00980EB8"/>
    <w:rsid w:val="009816C1"/>
    <w:rsid w:val="00981C0C"/>
    <w:rsid w:val="00983932"/>
    <w:rsid w:val="00983A85"/>
    <w:rsid w:val="00984D7E"/>
    <w:rsid w:val="009856A5"/>
    <w:rsid w:val="009856D3"/>
    <w:rsid w:val="009859BE"/>
    <w:rsid w:val="00985EF0"/>
    <w:rsid w:val="009864A9"/>
    <w:rsid w:val="009864DA"/>
    <w:rsid w:val="009866C9"/>
    <w:rsid w:val="00987C8F"/>
    <w:rsid w:val="00991001"/>
    <w:rsid w:val="0099124C"/>
    <w:rsid w:val="00993E05"/>
    <w:rsid w:val="00994257"/>
    <w:rsid w:val="009943DB"/>
    <w:rsid w:val="00994621"/>
    <w:rsid w:val="00994AF7"/>
    <w:rsid w:val="00994B26"/>
    <w:rsid w:val="0099579D"/>
    <w:rsid w:val="009969CB"/>
    <w:rsid w:val="009A24F4"/>
    <w:rsid w:val="009A2B62"/>
    <w:rsid w:val="009A36E7"/>
    <w:rsid w:val="009A5219"/>
    <w:rsid w:val="009A5BB4"/>
    <w:rsid w:val="009A77B7"/>
    <w:rsid w:val="009B5863"/>
    <w:rsid w:val="009B74AE"/>
    <w:rsid w:val="009C26D5"/>
    <w:rsid w:val="009C36FD"/>
    <w:rsid w:val="009C3931"/>
    <w:rsid w:val="009C53A3"/>
    <w:rsid w:val="009C5A5F"/>
    <w:rsid w:val="009C5E94"/>
    <w:rsid w:val="009C5FFC"/>
    <w:rsid w:val="009D0266"/>
    <w:rsid w:val="009D1A7E"/>
    <w:rsid w:val="009D1E7F"/>
    <w:rsid w:val="009D2393"/>
    <w:rsid w:val="009D2EE7"/>
    <w:rsid w:val="009D3419"/>
    <w:rsid w:val="009D35D8"/>
    <w:rsid w:val="009D575C"/>
    <w:rsid w:val="009D79E7"/>
    <w:rsid w:val="009E0D15"/>
    <w:rsid w:val="009E1035"/>
    <w:rsid w:val="009E2848"/>
    <w:rsid w:val="009E33D7"/>
    <w:rsid w:val="009E5BCB"/>
    <w:rsid w:val="009E6A8A"/>
    <w:rsid w:val="009E7413"/>
    <w:rsid w:val="009E7799"/>
    <w:rsid w:val="009F1066"/>
    <w:rsid w:val="009F1982"/>
    <w:rsid w:val="009F223F"/>
    <w:rsid w:val="009F395B"/>
    <w:rsid w:val="009F3DFD"/>
    <w:rsid w:val="009F6460"/>
    <w:rsid w:val="009F650A"/>
    <w:rsid w:val="009F6EFF"/>
    <w:rsid w:val="009F76B8"/>
    <w:rsid w:val="00A00654"/>
    <w:rsid w:val="00A01087"/>
    <w:rsid w:val="00A01F14"/>
    <w:rsid w:val="00A02627"/>
    <w:rsid w:val="00A030A9"/>
    <w:rsid w:val="00A03A2F"/>
    <w:rsid w:val="00A04761"/>
    <w:rsid w:val="00A057CC"/>
    <w:rsid w:val="00A05A49"/>
    <w:rsid w:val="00A0707C"/>
    <w:rsid w:val="00A0742B"/>
    <w:rsid w:val="00A07858"/>
    <w:rsid w:val="00A07F98"/>
    <w:rsid w:val="00A110E5"/>
    <w:rsid w:val="00A115AF"/>
    <w:rsid w:val="00A1213C"/>
    <w:rsid w:val="00A12341"/>
    <w:rsid w:val="00A138D1"/>
    <w:rsid w:val="00A150DD"/>
    <w:rsid w:val="00A16458"/>
    <w:rsid w:val="00A166C0"/>
    <w:rsid w:val="00A21292"/>
    <w:rsid w:val="00A2137E"/>
    <w:rsid w:val="00A21549"/>
    <w:rsid w:val="00A2427A"/>
    <w:rsid w:val="00A2455D"/>
    <w:rsid w:val="00A24B33"/>
    <w:rsid w:val="00A27484"/>
    <w:rsid w:val="00A2778D"/>
    <w:rsid w:val="00A277F5"/>
    <w:rsid w:val="00A278CF"/>
    <w:rsid w:val="00A3036E"/>
    <w:rsid w:val="00A3135E"/>
    <w:rsid w:val="00A3269F"/>
    <w:rsid w:val="00A336E9"/>
    <w:rsid w:val="00A35274"/>
    <w:rsid w:val="00A359A4"/>
    <w:rsid w:val="00A368FE"/>
    <w:rsid w:val="00A402BF"/>
    <w:rsid w:val="00A41CBC"/>
    <w:rsid w:val="00A44FCF"/>
    <w:rsid w:val="00A45DB4"/>
    <w:rsid w:val="00A46296"/>
    <w:rsid w:val="00A47AC8"/>
    <w:rsid w:val="00A52571"/>
    <w:rsid w:val="00A53708"/>
    <w:rsid w:val="00A545D6"/>
    <w:rsid w:val="00A55A04"/>
    <w:rsid w:val="00A56CE5"/>
    <w:rsid w:val="00A56E77"/>
    <w:rsid w:val="00A57223"/>
    <w:rsid w:val="00A6081A"/>
    <w:rsid w:val="00A61321"/>
    <w:rsid w:val="00A62B5D"/>
    <w:rsid w:val="00A636A2"/>
    <w:rsid w:val="00A64B8C"/>
    <w:rsid w:val="00A70344"/>
    <w:rsid w:val="00A70DDA"/>
    <w:rsid w:val="00A7245F"/>
    <w:rsid w:val="00A724A9"/>
    <w:rsid w:val="00A7313E"/>
    <w:rsid w:val="00A737AC"/>
    <w:rsid w:val="00A762E5"/>
    <w:rsid w:val="00A76BD6"/>
    <w:rsid w:val="00A76CB4"/>
    <w:rsid w:val="00A81039"/>
    <w:rsid w:val="00A848A8"/>
    <w:rsid w:val="00A85746"/>
    <w:rsid w:val="00A872A6"/>
    <w:rsid w:val="00A87429"/>
    <w:rsid w:val="00A87EB7"/>
    <w:rsid w:val="00A912B2"/>
    <w:rsid w:val="00A91A6E"/>
    <w:rsid w:val="00A931F5"/>
    <w:rsid w:val="00A952DC"/>
    <w:rsid w:val="00A952DF"/>
    <w:rsid w:val="00A96332"/>
    <w:rsid w:val="00A96514"/>
    <w:rsid w:val="00A968D2"/>
    <w:rsid w:val="00A96F6D"/>
    <w:rsid w:val="00AA2DFB"/>
    <w:rsid w:val="00AA4F1F"/>
    <w:rsid w:val="00AA6500"/>
    <w:rsid w:val="00AA7007"/>
    <w:rsid w:val="00AA796B"/>
    <w:rsid w:val="00AA7A59"/>
    <w:rsid w:val="00AB1F88"/>
    <w:rsid w:val="00AB271C"/>
    <w:rsid w:val="00AB2F21"/>
    <w:rsid w:val="00AB2FE6"/>
    <w:rsid w:val="00AB2FF9"/>
    <w:rsid w:val="00AB41AC"/>
    <w:rsid w:val="00AB4878"/>
    <w:rsid w:val="00AB51A5"/>
    <w:rsid w:val="00AB6658"/>
    <w:rsid w:val="00AC0797"/>
    <w:rsid w:val="00AC208E"/>
    <w:rsid w:val="00AC4A24"/>
    <w:rsid w:val="00AC5745"/>
    <w:rsid w:val="00AC63B7"/>
    <w:rsid w:val="00AC63EB"/>
    <w:rsid w:val="00AC650B"/>
    <w:rsid w:val="00AC71CA"/>
    <w:rsid w:val="00AC7FA3"/>
    <w:rsid w:val="00AD037E"/>
    <w:rsid w:val="00AD1B40"/>
    <w:rsid w:val="00AD1BDB"/>
    <w:rsid w:val="00AD1C16"/>
    <w:rsid w:val="00AD23FD"/>
    <w:rsid w:val="00AD3377"/>
    <w:rsid w:val="00AD502C"/>
    <w:rsid w:val="00AD57C1"/>
    <w:rsid w:val="00AD7F79"/>
    <w:rsid w:val="00AE4318"/>
    <w:rsid w:val="00AE644C"/>
    <w:rsid w:val="00AE67BD"/>
    <w:rsid w:val="00AE6947"/>
    <w:rsid w:val="00AE699A"/>
    <w:rsid w:val="00AE74B0"/>
    <w:rsid w:val="00AF1851"/>
    <w:rsid w:val="00AF222B"/>
    <w:rsid w:val="00AF24CD"/>
    <w:rsid w:val="00AF2616"/>
    <w:rsid w:val="00AF2DEE"/>
    <w:rsid w:val="00AF2FDC"/>
    <w:rsid w:val="00AF5AAF"/>
    <w:rsid w:val="00AF66DC"/>
    <w:rsid w:val="00AF700A"/>
    <w:rsid w:val="00AF75F8"/>
    <w:rsid w:val="00B009FB"/>
    <w:rsid w:val="00B014E5"/>
    <w:rsid w:val="00B01FAE"/>
    <w:rsid w:val="00B04393"/>
    <w:rsid w:val="00B05392"/>
    <w:rsid w:val="00B07744"/>
    <w:rsid w:val="00B103D0"/>
    <w:rsid w:val="00B106DE"/>
    <w:rsid w:val="00B1172E"/>
    <w:rsid w:val="00B12CD9"/>
    <w:rsid w:val="00B1327C"/>
    <w:rsid w:val="00B13BA2"/>
    <w:rsid w:val="00B146B4"/>
    <w:rsid w:val="00B148ED"/>
    <w:rsid w:val="00B15985"/>
    <w:rsid w:val="00B15A0B"/>
    <w:rsid w:val="00B2062D"/>
    <w:rsid w:val="00B20FEF"/>
    <w:rsid w:val="00B2183B"/>
    <w:rsid w:val="00B21ED8"/>
    <w:rsid w:val="00B23332"/>
    <w:rsid w:val="00B253B5"/>
    <w:rsid w:val="00B255C5"/>
    <w:rsid w:val="00B25BD4"/>
    <w:rsid w:val="00B27085"/>
    <w:rsid w:val="00B275D0"/>
    <w:rsid w:val="00B27DF0"/>
    <w:rsid w:val="00B31D9A"/>
    <w:rsid w:val="00B3232D"/>
    <w:rsid w:val="00B33D8A"/>
    <w:rsid w:val="00B34BAE"/>
    <w:rsid w:val="00B36082"/>
    <w:rsid w:val="00B3644B"/>
    <w:rsid w:val="00B42216"/>
    <w:rsid w:val="00B428AC"/>
    <w:rsid w:val="00B4317E"/>
    <w:rsid w:val="00B4369F"/>
    <w:rsid w:val="00B44C86"/>
    <w:rsid w:val="00B45F63"/>
    <w:rsid w:val="00B461F5"/>
    <w:rsid w:val="00B469CC"/>
    <w:rsid w:val="00B477B0"/>
    <w:rsid w:val="00B47867"/>
    <w:rsid w:val="00B50A7A"/>
    <w:rsid w:val="00B510CA"/>
    <w:rsid w:val="00B515AC"/>
    <w:rsid w:val="00B519F3"/>
    <w:rsid w:val="00B51A24"/>
    <w:rsid w:val="00B5260B"/>
    <w:rsid w:val="00B52E15"/>
    <w:rsid w:val="00B5419F"/>
    <w:rsid w:val="00B56F64"/>
    <w:rsid w:val="00B572D8"/>
    <w:rsid w:val="00B5792E"/>
    <w:rsid w:val="00B60426"/>
    <w:rsid w:val="00B6085E"/>
    <w:rsid w:val="00B614F0"/>
    <w:rsid w:val="00B63018"/>
    <w:rsid w:val="00B63BA9"/>
    <w:rsid w:val="00B63D16"/>
    <w:rsid w:val="00B63F89"/>
    <w:rsid w:val="00B64B8F"/>
    <w:rsid w:val="00B64CC2"/>
    <w:rsid w:val="00B64EA9"/>
    <w:rsid w:val="00B65E2F"/>
    <w:rsid w:val="00B703B0"/>
    <w:rsid w:val="00B70A2A"/>
    <w:rsid w:val="00B71559"/>
    <w:rsid w:val="00B72D76"/>
    <w:rsid w:val="00B73960"/>
    <w:rsid w:val="00B73CE3"/>
    <w:rsid w:val="00B76A64"/>
    <w:rsid w:val="00B82354"/>
    <w:rsid w:val="00B827DB"/>
    <w:rsid w:val="00B8375D"/>
    <w:rsid w:val="00B83F28"/>
    <w:rsid w:val="00B8403C"/>
    <w:rsid w:val="00B84D5E"/>
    <w:rsid w:val="00B84EDF"/>
    <w:rsid w:val="00B876BE"/>
    <w:rsid w:val="00B9007B"/>
    <w:rsid w:val="00B90FB7"/>
    <w:rsid w:val="00B90FE4"/>
    <w:rsid w:val="00B92098"/>
    <w:rsid w:val="00B929CB"/>
    <w:rsid w:val="00B931D5"/>
    <w:rsid w:val="00B94208"/>
    <w:rsid w:val="00B95EEA"/>
    <w:rsid w:val="00B966FB"/>
    <w:rsid w:val="00B97691"/>
    <w:rsid w:val="00B97F66"/>
    <w:rsid w:val="00BA01F7"/>
    <w:rsid w:val="00BA1BDC"/>
    <w:rsid w:val="00BA1F76"/>
    <w:rsid w:val="00BA2596"/>
    <w:rsid w:val="00BA3134"/>
    <w:rsid w:val="00BA4045"/>
    <w:rsid w:val="00BA5CD3"/>
    <w:rsid w:val="00BB36EC"/>
    <w:rsid w:val="00BB38CD"/>
    <w:rsid w:val="00BB4ADF"/>
    <w:rsid w:val="00BB613F"/>
    <w:rsid w:val="00BC0E99"/>
    <w:rsid w:val="00BC2635"/>
    <w:rsid w:val="00BC2AFC"/>
    <w:rsid w:val="00BC2DD7"/>
    <w:rsid w:val="00BC38FF"/>
    <w:rsid w:val="00BC3E56"/>
    <w:rsid w:val="00BC74E7"/>
    <w:rsid w:val="00BC7D1B"/>
    <w:rsid w:val="00BD2921"/>
    <w:rsid w:val="00BD2B2E"/>
    <w:rsid w:val="00BD2B5E"/>
    <w:rsid w:val="00BD3C71"/>
    <w:rsid w:val="00BD4DFE"/>
    <w:rsid w:val="00BE1782"/>
    <w:rsid w:val="00BE42F6"/>
    <w:rsid w:val="00BE5AEE"/>
    <w:rsid w:val="00BE66E9"/>
    <w:rsid w:val="00BF3F85"/>
    <w:rsid w:val="00BF4DC7"/>
    <w:rsid w:val="00BF5A70"/>
    <w:rsid w:val="00BF5AA0"/>
    <w:rsid w:val="00C00C7E"/>
    <w:rsid w:val="00C0115A"/>
    <w:rsid w:val="00C01EB8"/>
    <w:rsid w:val="00C02A53"/>
    <w:rsid w:val="00C0621A"/>
    <w:rsid w:val="00C06822"/>
    <w:rsid w:val="00C06DFB"/>
    <w:rsid w:val="00C071BF"/>
    <w:rsid w:val="00C07A59"/>
    <w:rsid w:val="00C07B02"/>
    <w:rsid w:val="00C129B0"/>
    <w:rsid w:val="00C13EEC"/>
    <w:rsid w:val="00C14097"/>
    <w:rsid w:val="00C140A3"/>
    <w:rsid w:val="00C148E9"/>
    <w:rsid w:val="00C150A9"/>
    <w:rsid w:val="00C15733"/>
    <w:rsid w:val="00C171CC"/>
    <w:rsid w:val="00C17BFC"/>
    <w:rsid w:val="00C21A01"/>
    <w:rsid w:val="00C2235E"/>
    <w:rsid w:val="00C239A2"/>
    <w:rsid w:val="00C23C0C"/>
    <w:rsid w:val="00C244E3"/>
    <w:rsid w:val="00C2513E"/>
    <w:rsid w:val="00C2548F"/>
    <w:rsid w:val="00C261F8"/>
    <w:rsid w:val="00C262F6"/>
    <w:rsid w:val="00C26FC1"/>
    <w:rsid w:val="00C2734B"/>
    <w:rsid w:val="00C3358C"/>
    <w:rsid w:val="00C37CC9"/>
    <w:rsid w:val="00C37D8D"/>
    <w:rsid w:val="00C407B8"/>
    <w:rsid w:val="00C41AB5"/>
    <w:rsid w:val="00C42BA1"/>
    <w:rsid w:val="00C42D8B"/>
    <w:rsid w:val="00C43431"/>
    <w:rsid w:val="00C449D5"/>
    <w:rsid w:val="00C450D9"/>
    <w:rsid w:val="00C451A3"/>
    <w:rsid w:val="00C45F9B"/>
    <w:rsid w:val="00C4623F"/>
    <w:rsid w:val="00C47553"/>
    <w:rsid w:val="00C50F20"/>
    <w:rsid w:val="00C5207C"/>
    <w:rsid w:val="00C5276B"/>
    <w:rsid w:val="00C52932"/>
    <w:rsid w:val="00C53862"/>
    <w:rsid w:val="00C53F9A"/>
    <w:rsid w:val="00C54D14"/>
    <w:rsid w:val="00C55DF0"/>
    <w:rsid w:val="00C603A3"/>
    <w:rsid w:val="00C61A6C"/>
    <w:rsid w:val="00C62592"/>
    <w:rsid w:val="00C63467"/>
    <w:rsid w:val="00C64CF0"/>
    <w:rsid w:val="00C660CD"/>
    <w:rsid w:val="00C66600"/>
    <w:rsid w:val="00C66810"/>
    <w:rsid w:val="00C67873"/>
    <w:rsid w:val="00C720D2"/>
    <w:rsid w:val="00C72261"/>
    <w:rsid w:val="00C72A74"/>
    <w:rsid w:val="00C72D52"/>
    <w:rsid w:val="00C743A4"/>
    <w:rsid w:val="00C75B8E"/>
    <w:rsid w:val="00C76AF9"/>
    <w:rsid w:val="00C7747C"/>
    <w:rsid w:val="00C801CB"/>
    <w:rsid w:val="00C806E0"/>
    <w:rsid w:val="00C8081A"/>
    <w:rsid w:val="00C80E8C"/>
    <w:rsid w:val="00C80EA1"/>
    <w:rsid w:val="00C8125C"/>
    <w:rsid w:val="00C81EB6"/>
    <w:rsid w:val="00C82568"/>
    <w:rsid w:val="00C833D9"/>
    <w:rsid w:val="00C87079"/>
    <w:rsid w:val="00C87F5C"/>
    <w:rsid w:val="00C9057F"/>
    <w:rsid w:val="00C907CD"/>
    <w:rsid w:val="00C90CA4"/>
    <w:rsid w:val="00C94024"/>
    <w:rsid w:val="00C95F2D"/>
    <w:rsid w:val="00C97868"/>
    <w:rsid w:val="00CA0387"/>
    <w:rsid w:val="00CA216F"/>
    <w:rsid w:val="00CA2B00"/>
    <w:rsid w:val="00CA4E3A"/>
    <w:rsid w:val="00CA5B5B"/>
    <w:rsid w:val="00CB03B2"/>
    <w:rsid w:val="00CB0C29"/>
    <w:rsid w:val="00CB2465"/>
    <w:rsid w:val="00CB3F5A"/>
    <w:rsid w:val="00CB4122"/>
    <w:rsid w:val="00CB4794"/>
    <w:rsid w:val="00CB4F4F"/>
    <w:rsid w:val="00CB51C7"/>
    <w:rsid w:val="00CB54BF"/>
    <w:rsid w:val="00CB7C2D"/>
    <w:rsid w:val="00CB7E68"/>
    <w:rsid w:val="00CC057F"/>
    <w:rsid w:val="00CC1381"/>
    <w:rsid w:val="00CC3500"/>
    <w:rsid w:val="00CC356A"/>
    <w:rsid w:val="00CC3FF7"/>
    <w:rsid w:val="00CC4066"/>
    <w:rsid w:val="00CC48D1"/>
    <w:rsid w:val="00CC4C2C"/>
    <w:rsid w:val="00CC4FD1"/>
    <w:rsid w:val="00CC5407"/>
    <w:rsid w:val="00CC5BC2"/>
    <w:rsid w:val="00CC5C77"/>
    <w:rsid w:val="00CC6238"/>
    <w:rsid w:val="00CC6AF6"/>
    <w:rsid w:val="00CD091F"/>
    <w:rsid w:val="00CD1970"/>
    <w:rsid w:val="00CD3DF8"/>
    <w:rsid w:val="00CD3E23"/>
    <w:rsid w:val="00CD4961"/>
    <w:rsid w:val="00CD5317"/>
    <w:rsid w:val="00CD6AB6"/>
    <w:rsid w:val="00CD70E6"/>
    <w:rsid w:val="00CE00E4"/>
    <w:rsid w:val="00CE0AF9"/>
    <w:rsid w:val="00CE11DE"/>
    <w:rsid w:val="00CE15D9"/>
    <w:rsid w:val="00CE1CBD"/>
    <w:rsid w:val="00CE25B7"/>
    <w:rsid w:val="00CE3EDE"/>
    <w:rsid w:val="00CE44A6"/>
    <w:rsid w:val="00CE4739"/>
    <w:rsid w:val="00CE4B6D"/>
    <w:rsid w:val="00CE4FE7"/>
    <w:rsid w:val="00CE5B41"/>
    <w:rsid w:val="00CE7374"/>
    <w:rsid w:val="00CE76DF"/>
    <w:rsid w:val="00CF0001"/>
    <w:rsid w:val="00CF22A5"/>
    <w:rsid w:val="00CF2534"/>
    <w:rsid w:val="00CF25E3"/>
    <w:rsid w:val="00CF32E7"/>
    <w:rsid w:val="00CF5913"/>
    <w:rsid w:val="00CF5CA5"/>
    <w:rsid w:val="00CF691A"/>
    <w:rsid w:val="00CF783B"/>
    <w:rsid w:val="00CF7975"/>
    <w:rsid w:val="00D00275"/>
    <w:rsid w:val="00D012AD"/>
    <w:rsid w:val="00D032A8"/>
    <w:rsid w:val="00D0499C"/>
    <w:rsid w:val="00D04BA8"/>
    <w:rsid w:val="00D04E44"/>
    <w:rsid w:val="00D059C3"/>
    <w:rsid w:val="00D1000E"/>
    <w:rsid w:val="00D10F7B"/>
    <w:rsid w:val="00D122A4"/>
    <w:rsid w:val="00D12B15"/>
    <w:rsid w:val="00D13FF8"/>
    <w:rsid w:val="00D15723"/>
    <w:rsid w:val="00D163B7"/>
    <w:rsid w:val="00D16957"/>
    <w:rsid w:val="00D1782E"/>
    <w:rsid w:val="00D17CCF"/>
    <w:rsid w:val="00D232EF"/>
    <w:rsid w:val="00D2552C"/>
    <w:rsid w:val="00D27BFE"/>
    <w:rsid w:val="00D30769"/>
    <w:rsid w:val="00D3098A"/>
    <w:rsid w:val="00D318D9"/>
    <w:rsid w:val="00D31D59"/>
    <w:rsid w:val="00D333C3"/>
    <w:rsid w:val="00D33868"/>
    <w:rsid w:val="00D33DFD"/>
    <w:rsid w:val="00D3512A"/>
    <w:rsid w:val="00D3516B"/>
    <w:rsid w:val="00D356F8"/>
    <w:rsid w:val="00D371B5"/>
    <w:rsid w:val="00D41DB6"/>
    <w:rsid w:val="00D41EE5"/>
    <w:rsid w:val="00D42DBE"/>
    <w:rsid w:val="00D4590B"/>
    <w:rsid w:val="00D46293"/>
    <w:rsid w:val="00D4740D"/>
    <w:rsid w:val="00D51D31"/>
    <w:rsid w:val="00D52996"/>
    <w:rsid w:val="00D560A4"/>
    <w:rsid w:val="00D5716A"/>
    <w:rsid w:val="00D576DA"/>
    <w:rsid w:val="00D57807"/>
    <w:rsid w:val="00D61DCC"/>
    <w:rsid w:val="00D62437"/>
    <w:rsid w:val="00D62601"/>
    <w:rsid w:val="00D63DB3"/>
    <w:rsid w:val="00D6475D"/>
    <w:rsid w:val="00D6637F"/>
    <w:rsid w:val="00D666D2"/>
    <w:rsid w:val="00D66A3B"/>
    <w:rsid w:val="00D66EC4"/>
    <w:rsid w:val="00D67863"/>
    <w:rsid w:val="00D70DD9"/>
    <w:rsid w:val="00D719E4"/>
    <w:rsid w:val="00D719EA"/>
    <w:rsid w:val="00D71F94"/>
    <w:rsid w:val="00D73083"/>
    <w:rsid w:val="00D73676"/>
    <w:rsid w:val="00D7437F"/>
    <w:rsid w:val="00D74DDC"/>
    <w:rsid w:val="00D74F9B"/>
    <w:rsid w:val="00D76072"/>
    <w:rsid w:val="00D768CE"/>
    <w:rsid w:val="00D76FBB"/>
    <w:rsid w:val="00D77840"/>
    <w:rsid w:val="00D77F0C"/>
    <w:rsid w:val="00D77F27"/>
    <w:rsid w:val="00D80102"/>
    <w:rsid w:val="00D8011C"/>
    <w:rsid w:val="00D805C6"/>
    <w:rsid w:val="00D80D48"/>
    <w:rsid w:val="00D817A6"/>
    <w:rsid w:val="00D824AE"/>
    <w:rsid w:val="00D82D83"/>
    <w:rsid w:val="00D8371B"/>
    <w:rsid w:val="00D84950"/>
    <w:rsid w:val="00D85057"/>
    <w:rsid w:val="00D851E5"/>
    <w:rsid w:val="00D85EB6"/>
    <w:rsid w:val="00D864DB"/>
    <w:rsid w:val="00D874AC"/>
    <w:rsid w:val="00D87A63"/>
    <w:rsid w:val="00D87EF7"/>
    <w:rsid w:val="00D92070"/>
    <w:rsid w:val="00D92A82"/>
    <w:rsid w:val="00D92CEF"/>
    <w:rsid w:val="00D92FE1"/>
    <w:rsid w:val="00D9326D"/>
    <w:rsid w:val="00D935C9"/>
    <w:rsid w:val="00D93EBF"/>
    <w:rsid w:val="00D9562B"/>
    <w:rsid w:val="00D971AD"/>
    <w:rsid w:val="00DA00F8"/>
    <w:rsid w:val="00DA0277"/>
    <w:rsid w:val="00DA039D"/>
    <w:rsid w:val="00DA1DD9"/>
    <w:rsid w:val="00DA1F1C"/>
    <w:rsid w:val="00DA2890"/>
    <w:rsid w:val="00DA308D"/>
    <w:rsid w:val="00DA5463"/>
    <w:rsid w:val="00DA6504"/>
    <w:rsid w:val="00DA6BF6"/>
    <w:rsid w:val="00DA6C8F"/>
    <w:rsid w:val="00DA7B3B"/>
    <w:rsid w:val="00DB070A"/>
    <w:rsid w:val="00DB0EB0"/>
    <w:rsid w:val="00DB145C"/>
    <w:rsid w:val="00DB36D9"/>
    <w:rsid w:val="00DB4F60"/>
    <w:rsid w:val="00DB53C7"/>
    <w:rsid w:val="00DB5C1C"/>
    <w:rsid w:val="00DB5FC0"/>
    <w:rsid w:val="00DB6283"/>
    <w:rsid w:val="00DB7BBB"/>
    <w:rsid w:val="00DB7D01"/>
    <w:rsid w:val="00DC0621"/>
    <w:rsid w:val="00DC1DA3"/>
    <w:rsid w:val="00DC241F"/>
    <w:rsid w:val="00DC3F48"/>
    <w:rsid w:val="00DC542C"/>
    <w:rsid w:val="00DC5E9C"/>
    <w:rsid w:val="00DC61B0"/>
    <w:rsid w:val="00DD0BF0"/>
    <w:rsid w:val="00DD2103"/>
    <w:rsid w:val="00DD30BF"/>
    <w:rsid w:val="00DD3D34"/>
    <w:rsid w:val="00DD4F6D"/>
    <w:rsid w:val="00DD646F"/>
    <w:rsid w:val="00DD6CD1"/>
    <w:rsid w:val="00DE1F67"/>
    <w:rsid w:val="00DE2B10"/>
    <w:rsid w:val="00DE46D0"/>
    <w:rsid w:val="00DE4F61"/>
    <w:rsid w:val="00DE5082"/>
    <w:rsid w:val="00DE5B1E"/>
    <w:rsid w:val="00DE6220"/>
    <w:rsid w:val="00DE71CA"/>
    <w:rsid w:val="00DE76DB"/>
    <w:rsid w:val="00DE7A4E"/>
    <w:rsid w:val="00DE7C5B"/>
    <w:rsid w:val="00DF0AE2"/>
    <w:rsid w:val="00DF0DB2"/>
    <w:rsid w:val="00DF3974"/>
    <w:rsid w:val="00DF56B0"/>
    <w:rsid w:val="00DF7A08"/>
    <w:rsid w:val="00E00BC1"/>
    <w:rsid w:val="00E01B32"/>
    <w:rsid w:val="00E04BF0"/>
    <w:rsid w:val="00E055B6"/>
    <w:rsid w:val="00E06671"/>
    <w:rsid w:val="00E06E15"/>
    <w:rsid w:val="00E0740E"/>
    <w:rsid w:val="00E0761E"/>
    <w:rsid w:val="00E11DBF"/>
    <w:rsid w:val="00E134FB"/>
    <w:rsid w:val="00E14838"/>
    <w:rsid w:val="00E15DC5"/>
    <w:rsid w:val="00E23760"/>
    <w:rsid w:val="00E238E9"/>
    <w:rsid w:val="00E25426"/>
    <w:rsid w:val="00E262B4"/>
    <w:rsid w:val="00E26741"/>
    <w:rsid w:val="00E30406"/>
    <w:rsid w:val="00E305FB"/>
    <w:rsid w:val="00E323DB"/>
    <w:rsid w:val="00E32A8F"/>
    <w:rsid w:val="00E32C9E"/>
    <w:rsid w:val="00E330CA"/>
    <w:rsid w:val="00E3367A"/>
    <w:rsid w:val="00E338AF"/>
    <w:rsid w:val="00E33A1C"/>
    <w:rsid w:val="00E34D2E"/>
    <w:rsid w:val="00E35F33"/>
    <w:rsid w:val="00E36C9C"/>
    <w:rsid w:val="00E37E4A"/>
    <w:rsid w:val="00E412D5"/>
    <w:rsid w:val="00E41716"/>
    <w:rsid w:val="00E42EB2"/>
    <w:rsid w:val="00E436B5"/>
    <w:rsid w:val="00E45088"/>
    <w:rsid w:val="00E4588F"/>
    <w:rsid w:val="00E467A4"/>
    <w:rsid w:val="00E46D56"/>
    <w:rsid w:val="00E46DD9"/>
    <w:rsid w:val="00E475BF"/>
    <w:rsid w:val="00E504C9"/>
    <w:rsid w:val="00E5165A"/>
    <w:rsid w:val="00E521FD"/>
    <w:rsid w:val="00E52CE1"/>
    <w:rsid w:val="00E54B07"/>
    <w:rsid w:val="00E55C2C"/>
    <w:rsid w:val="00E56C51"/>
    <w:rsid w:val="00E577B6"/>
    <w:rsid w:val="00E57A9B"/>
    <w:rsid w:val="00E6010B"/>
    <w:rsid w:val="00E61156"/>
    <w:rsid w:val="00E615E4"/>
    <w:rsid w:val="00E61DB3"/>
    <w:rsid w:val="00E6266F"/>
    <w:rsid w:val="00E62E79"/>
    <w:rsid w:val="00E639F0"/>
    <w:rsid w:val="00E6419A"/>
    <w:rsid w:val="00E648A4"/>
    <w:rsid w:val="00E650B1"/>
    <w:rsid w:val="00E65355"/>
    <w:rsid w:val="00E672CD"/>
    <w:rsid w:val="00E70867"/>
    <w:rsid w:val="00E710BC"/>
    <w:rsid w:val="00E711E5"/>
    <w:rsid w:val="00E714F9"/>
    <w:rsid w:val="00E71D03"/>
    <w:rsid w:val="00E72CBE"/>
    <w:rsid w:val="00E74401"/>
    <w:rsid w:val="00E75707"/>
    <w:rsid w:val="00E7656E"/>
    <w:rsid w:val="00E80698"/>
    <w:rsid w:val="00E80E64"/>
    <w:rsid w:val="00E812AA"/>
    <w:rsid w:val="00E81BCD"/>
    <w:rsid w:val="00E835E5"/>
    <w:rsid w:val="00E8539B"/>
    <w:rsid w:val="00E86ED6"/>
    <w:rsid w:val="00E8753A"/>
    <w:rsid w:val="00E90DED"/>
    <w:rsid w:val="00E92F47"/>
    <w:rsid w:val="00E9543F"/>
    <w:rsid w:val="00E95ABF"/>
    <w:rsid w:val="00E95F33"/>
    <w:rsid w:val="00E96BD2"/>
    <w:rsid w:val="00EA1039"/>
    <w:rsid w:val="00EA144C"/>
    <w:rsid w:val="00EA19E1"/>
    <w:rsid w:val="00EA2195"/>
    <w:rsid w:val="00EA22A2"/>
    <w:rsid w:val="00EA5F19"/>
    <w:rsid w:val="00EA62D0"/>
    <w:rsid w:val="00EA6350"/>
    <w:rsid w:val="00EA6D0C"/>
    <w:rsid w:val="00EA6DD3"/>
    <w:rsid w:val="00EB06A2"/>
    <w:rsid w:val="00EB071D"/>
    <w:rsid w:val="00EB10EE"/>
    <w:rsid w:val="00EB1F0D"/>
    <w:rsid w:val="00EB20D5"/>
    <w:rsid w:val="00EB3F26"/>
    <w:rsid w:val="00EB408D"/>
    <w:rsid w:val="00EB74F7"/>
    <w:rsid w:val="00EC0664"/>
    <w:rsid w:val="00EC1ACB"/>
    <w:rsid w:val="00EC486E"/>
    <w:rsid w:val="00EC7CF9"/>
    <w:rsid w:val="00EC7EF3"/>
    <w:rsid w:val="00ED2E26"/>
    <w:rsid w:val="00ED41CB"/>
    <w:rsid w:val="00ED4AB4"/>
    <w:rsid w:val="00ED6874"/>
    <w:rsid w:val="00ED6E64"/>
    <w:rsid w:val="00ED6F71"/>
    <w:rsid w:val="00EE096C"/>
    <w:rsid w:val="00EE30DD"/>
    <w:rsid w:val="00EE3284"/>
    <w:rsid w:val="00EE33A6"/>
    <w:rsid w:val="00EE4C49"/>
    <w:rsid w:val="00EE52E9"/>
    <w:rsid w:val="00EE5751"/>
    <w:rsid w:val="00EE5AF2"/>
    <w:rsid w:val="00EE6457"/>
    <w:rsid w:val="00EE7145"/>
    <w:rsid w:val="00EE762B"/>
    <w:rsid w:val="00EF4A7D"/>
    <w:rsid w:val="00EF7A48"/>
    <w:rsid w:val="00EF7E86"/>
    <w:rsid w:val="00F011CE"/>
    <w:rsid w:val="00F01399"/>
    <w:rsid w:val="00F0269A"/>
    <w:rsid w:val="00F02DB3"/>
    <w:rsid w:val="00F048A7"/>
    <w:rsid w:val="00F05477"/>
    <w:rsid w:val="00F10BB0"/>
    <w:rsid w:val="00F12C65"/>
    <w:rsid w:val="00F13D67"/>
    <w:rsid w:val="00F14120"/>
    <w:rsid w:val="00F150DC"/>
    <w:rsid w:val="00F15531"/>
    <w:rsid w:val="00F179C1"/>
    <w:rsid w:val="00F2035E"/>
    <w:rsid w:val="00F2194D"/>
    <w:rsid w:val="00F22301"/>
    <w:rsid w:val="00F22C6A"/>
    <w:rsid w:val="00F232E3"/>
    <w:rsid w:val="00F25512"/>
    <w:rsid w:val="00F2554D"/>
    <w:rsid w:val="00F26146"/>
    <w:rsid w:val="00F2659C"/>
    <w:rsid w:val="00F26C47"/>
    <w:rsid w:val="00F31144"/>
    <w:rsid w:val="00F327B3"/>
    <w:rsid w:val="00F3360C"/>
    <w:rsid w:val="00F34B9F"/>
    <w:rsid w:val="00F3631E"/>
    <w:rsid w:val="00F366D5"/>
    <w:rsid w:val="00F404FE"/>
    <w:rsid w:val="00F40D62"/>
    <w:rsid w:val="00F40DC7"/>
    <w:rsid w:val="00F41419"/>
    <w:rsid w:val="00F41C64"/>
    <w:rsid w:val="00F4325E"/>
    <w:rsid w:val="00F443BB"/>
    <w:rsid w:val="00F44D78"/>
    <w:rsid w:val="00F45BF5"/>
    <w:rsid w:val="00F47268"/>
    <w:rsid w:val="00F473B5"/>
    <w:rsid w:val="00F510EC"/>
    <w:rsid w:val="00F51163"/>
    <w:rsid w:val="00F54DB8"/>
    <w:rsid w:val="00F56B65"/>
    <w:rsid w:val="00F56D52"/>
    <w:rsid w:val="00F56FAB"/>
    <w:rsid w:val="00F578A5"/>
    <w:rsid w:val="00F57A1E"/>
    <w:rsid w:val="00F60214"/>
    <w:rsid w:val="00F60EE7"/>
    <w:rsid w:val="00F619D7"/>
    <w:rsid w:val="00F622CD"/>
    <w:rsid w:val="00F62866"/>
    <w:rsid w:val="00F628B6"/>
    <w:rsid w:val="00F6449A"/>
    <w:rsid w:val="00F64C24"/>
    <w:rsid w:val="00F65242"/>
    <w:rsid w:val="00F65BCE"/>
    <w:rsid w:val="00F67428"/>
    <w:rsid w:val="00F700D3"/>
    <w:rsid w:val="00F70836"/>
    <w:rsid w:val="00F70BF6"/>
    <w:rsid w:val="00F71D44"/>
    <w:rsid w:val="00F723F1"/>
    <w:rsid w:val="00F73871"/>
    <w:rsid w:val="00F73C08"/>
    <w:rsid w:val="00F73D93"/>
    <w:rsid w:val="00F75FEA"/>
    <w:rsid w:val="00F76DD5"/>
    <w:rsid w:val="00F803E1"/>
    <w:rsid w:val="00F804EE"/>
    <w:rsid w:val="00F8077B"/>
    <w:rsid w:val="00F80C14"/>
    <w:rsid w:val="00F80FFE"/>
    <w:rsid w:val="00F81375"/>
    <w:rsid w:val="00F81749"/>
    <w:rsid w:val="00F83157"/>
    <w:rsid w:val="00F832F5"/>
    <w:rsid w:val="00F835A9"/>
    <w:rsid w:val="00F84F1D"/>
    <w:rsid w:val="00F85436"/>
    <w:rsid w:val="00F85BA0"/>
    <w:rsid w:val="00F86287"/>
    <w:rsid w:val="00F86C4A"/>
    <w:rsid w:val="00F86D5C"/>
    <w:rsid w:val="00F873B8"/>
    <w:rsid w:val="00F908E4"/>
    <w:rsid w:val="00F9214D"/>
    <w:rsid w:val="00F92DA2"/>
    <w:rsid w:val="00F937AA"/>
    <w:rsid w:val="00F94AEB"/>
    <w:rsid w:val="00F94F7E"/>
    <w:rsid w:val="00F951F3"/>
    <w:rsid w:val="00F96C04"/>
    <w:rsid w:val="00FA0ABE"/>
    <w:rsid w:val="00FA0E70"/>
    <w:rsid w:val="00FA14BB"/>
    <w:rsid w:val="00FA1CDB"/>
    <w:rsid w:val="00FA27D9"/>
    <w:rsid w:val="00FA2878"/>
    <w:rsid w:val="00FA29F2"/>
    <w:rsid w:val="00FA5F89"/>
    <w:rsid w:val="00FA6C31"/>
    <w:rsid w:val="00FA7409"/>
    <w:rsid w:val="00FB03C8"/>
    <w:rsid w:val="00FB0D06"/>
    <w:rsid w:val="00FB11CD"/>
    <w:rsid w:val="00FB1998"/>
    <w:rsid w:val="00FB2FA6"/>
    <w:rsid w:val="00FB313A"/>
    <w:rsid w:val="00FB3BF7"/>
    <w:rsid w:val="00FB4784"/>
    <w:rsid w:val="00FB4A64"/>
    <w:rsid w:val="00FB7068"/>
    <w:rsid w:val="00FC0D14"/>
    <w:rsid w:val="00FC1A93"/>
    <w:rsid w:val="00FC206D"/>
    <w:rsid w:val="00FC2461"/>
    <w:rsid w:val="00FC37BA"/>
    <w:rsid w:val="00FC65F2"/>
    <w:rsid w:val="00FC6E1E"/>
    <w:rsid w:val="00FC6FDC"/>
    <w:rsid w:val="00FC75ED"/>
    <w:rsid w:val="00FC77B1"/>
    <w:rsid w:val="00FD07C5"/>
    <w:rsid w:val="00FD3C3D"/>
    <w:rsid w:val="00FD420F"/>
    <w:rsid w:val="00FD572C"/>
    <w:rsid w:val="00FD5DB1"/>
    <w:rsid w:val="00FD6114"/>
    <w:rsid w:val="00FD6BC3"/>
    <w:rsid w:val="00FD7A71"/>
    <w:rsid w:val="00FE3F61"/>
    <w:rsid w:val="00FE4F7F"/>
    <w:rsid w:val="00FE6BDB"/>
    <w:rsid w:val="00FF059D"/>
    <w:rsid w:val="00FF100C"/>
    <w:rsid w:val="00FF32A0"/>
    <w:rsid w:val="00FF6EC9"/>
    <w:rsid w:val="021C499E"/>
    <w:rsid w:val="0428473C"/>
    <w:rsid w:val="04FE0949"/>
    <w:rsid w:val="05B72A07"/>
    <w:rsid w:val="06964B33"/>
    <w:rsid w:val="085C58D0"/>
    <w:rsid w:val="092D22BB"/>
    <w:rsid w:val="09552E52"/>
    <w:rsid w:val="099D3CA5"/>
    <w:rsid w:val="09B363A6"/>
    <w:rsid w:val="09CD27F9"/>
    <w:rsid w:val="0A942BBA"/>
    <w:rsid w:val="0AAC0660"/>
    <w:rsid w:val="0AB406B5"/>
    <w:rsid w:val="0ACC1DAE"/>
    <w:rsid w:val="0BDC633A"/>
    <w:rsid w:val="0E4F2DBA"/>
    <w:rsid w:val="0E4F2E0F"/>
    <w:rsid w:val="0E8039A7"/>
    <w:rsid w:val="10134EC6"/>
    <w:rsid w:val="1036207A"/>
    <w:rsid w:val="10611132"/>
    <w:rsid w:val="108C6373"/>
    <w:rsid w:val="13FB331D"/>
    <w:rsid w:val="14410BE3"/>
    <w:rsid w:val="14664C3E"/>
    <w:rsid w:val="14E11DE6"/>
    <w:rsid w:val="15073993"/>
    <w:rsid w:val="15512A38"/>
    <w:rsid w:val="15967B33"/>
    <w:rsid w:val="15D31C5D"/>
    <w:rsid w:val="15F04F97"/>
    <w:rsid w:val="16EE3484"/>
    <w:rsid w:val="1831627F"/>
    <w:rsid w:val="186F1741"/>
    <w:rsid w:val="18AA7D82"/>
    <w:rsid w:val="18DB2395"/>
    <w:rsid w:val="1C5D03B9"/>
    <w:rsid w:val="1CA93655"/>
    <w:rsid w:val="1D740698"/>
    <w:rsid w:val="1ECC1605"/>
    <w:rsid w:val="201C7578"/>
    <w:rsid w:val="20C444FE"/>
    <w:rsid w:val="2170604B"/>
    <w:rsid w:val="21993612"/>
    <w:rsid w:val="21AE4695"/>
    <w:rsid w:val="22E83598"/>
    <w:rsid w:val="23503030"/>
    <w:rsid w:val="24B02492"/>
    <w:rsid w:val="25205D79"/>
    <w:rsid w:val="25647697"/>
    <w:rsid w:val="256D65D7"/>
    <w:rsid w:val="26CC6835"/>
    <w:rsid w:val="26D32265"/>
    <w:rsid w:val="27B31A94"/>
    <w:rsid w:val="292461B5"/>
    <w:rsid w:val="2A197802"/>
    <w:rsid w:val="2B3F0293"/>
    <w:rsid w:val="2BE05684"/>
    <w:rsid w:val="2C1915CB"/>
    <w:rsid w:val="2DCF404C"/>
    <w:rsid w:val="2E3278C4"/>
    <w:rsid w:val="2EE42049"/>
    <w:rsid w:val="2F5E5B1E"/>
    <w:rsid w:val="2FAE4241"/>
    <w:rsid w:val="311769A9"/>
    <w:rsid w:val="312603C5"/>
    <w:rsid w:val="315336C5"/>
    <w:rsid w:val="32117AE6"/>
    <w:rsid w:val="32370A64"/>
    <w:rsid w:val="32AB7A20"/>
    <w:rsid w:val="32E7529C"/>
    <w:rsid w:val="32FC38F0"/>
    <w:rsid w:val="337254D0"/>
    <w:rsid w:val="33D168D8"/>
    <w:rsid w:val="34883910"/>
    <w:rsid w:val="354B1E71"/>
    <w:rsid w:val="35655122"/>
    <w:rsid w:val="35AD335B"/>
    <w:rsid w:val="36DE4255"/>
    <w:rsid w:val="37677539"/>
    <w:rsid w:val="377203B8"/>
    <w:rsid w:val="380274B0"/>
    <w:rsid w:val="38267144"/>
    <w:rsid w:val="39203E37"/>
    <w:rsid w:val="3C3629A1"/>
    <w:rsid w:val="3CE259A9"/>
    <w:rsid w:val="3D352F3D"/>
    <w:rsid w:val="3FA959E1"/>
    <w:rsid w:val="3FE97EFC"/>
    <w:rsid w:val="40503261"/>
    <w:rsid w:val="406B20E1"/>
    <w:rsid w:val="41A61DFE"/>
    <w:rsid w:val="420F5345"/>
    <w:rsid w:val="45717DCF"/>
    <w:rsid w:val="460E6A30"/>
    <w:rsid w:val="46322BAC"/>
    <w:rsid w:val="47215D7E"/>
    <w:rsid w:val="4786262B"/>
    <w:rsid w:val="48355609"/>
    <w:rsid w:val="48912668"/>
    <w:rsid w:val="4A7C7811"/>
    <w:rsid w:val="4B561FD7"/>
    <w:rsid w:val="4B5723E3"/>
    <w:rsid w:val="4BE62CCB"/>
    <w:rsid w:val="4C2F1BAB"/>
    <w:rsid w:val="4D2A3B1C"/>
    <w:rsid w:val="4D7D7C7E"/>
    <w:rsid w:val="4FAD58A6"/>
    <w:rsid w:val="4FDB1B3A"/>
    <w:rsid w:val="51AA3DB3"/>
    <w:rsid w:val="51D7730D"/>
    <w:rsid w:val="51DD7EE3"/>
    <w:rsid w:val="541E238E"/>
    <w:rsid w:val="55564C12"/>
    <w:rsid w:val="566344D8"/>
    <w:rsid w:val="56B21CD1"/>
    <w:rsid w:val="5912118D"/>
    <w:rsid w:val="597B2C21"/>
    <w:rsid w:val="59A82A66"/>
    <w:rsid w:val="59B5698B"/>
    <w:rsid w:val="59EC0A6F"/>
    <w:rsid w:val="59FC0530"/>
    <w:rsid w:val="5AA956FF"/>
    <w:rsid w:val="5BB10F8B"/>
    <w:rsid w:val="5C7242ED"/>
    <w:rsid w:val="5D234618"/>
    <w:rsid w:val="61F63328"/>
    <w:rsid w:val="628658FE"/>
    <w:rsid w:val="63247B0B"/>
    <w:rsid w:val="64816DB1"/>
    <w:rsid w:val="64CA2D32"/>
    <w:rsid w:val="65B05ABE"/>
    <w:rsid w:val="68183F54"/>
    <w:rsid w:val="683B568B"/>
    <w:rsid w:val="68BF7629"/>
    <w:rsid w:val="69223E3F"/>
    <w:rsid w:val="695A737D"/>
    <w:rsid w:val="6AC81337"/>
    <w:rsid w:val="6B543355"/>
    <w:rsid w:val="6BC13086"/>
    <w:rsid w:val="6C4F6A48"/>
    <w:rsid w:val="6D31324B"/>
    <w:rsid w:val="6D342C5E"/>
    <w:rsid w:val="6D6F6172"/>
    <w:rsid w:val="6DEF3A32"/>
    <w:rsid w:val="6EBD6519"/>
    <w:rsid w:val="6FE17882"/>
    <w:rsid w:val="70BA6401"/>
    <w:rsid w:val="71836734"/>
    <w:rsid w:val="719150EA"/>
    <w:rsid w:val="71CD1570"/>
    <w:rsid w:val="72C45495"/>
    <w:rsid w:val="730001AA"/>
    <w:rsid w:val="730E205D"/>
    <w:rsid w:val="734773D4"/>
    <w:rsid w:val="73502BD4"/>
    <w:rsid w:val="73505D22"/>
    <w:rsid w:val="737732DB"/>
    <w:rsid w:val="740C7DA1"/>
    <w:rsid w:val="754008AF"/>
    <w:rsid w:val="77F07461"/>
    <w:rsid w:val="78556E39"/>
    <w:rsid w:val="78737EA2"/>
    <w:rsid w:val="78D976B4"/>
    <w:rsid w:val="79C93F1B"/>
    <w:rsid w:val="7B0D78A6"/>
    <w:rsid w:val="7B1619F1"/>
    <w:rsid w:val="7B3E6DD4"/>
    <w:rsid w:val="7BA026BF"/>
    <w:rsid w:val="7D3404DF"/>
    <w:rsid w:val="7F5419B3"/>
    <w:rsid w:val="7F6D03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qFormat="1" w:uiPriority="0" w:name="HTML Typewriter"/>
    <w:lsdException w:qFormat="1"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3">
    <w:name w:val="heading 3"/>
    <w:basedOn w:val="1"/>
    <w:next w:val="1"/>
    <w:link w:val="37"/>
    <w:qFormat/>
    <w:uiPriority w:val="0"/>
    <w:pPr>
      <w:widowControl/>
      <w:spacing w:before="100" w:beforeAutospacing="1" w:after="100" w:afterAutospacing="1"/>
      <w:jc w:val="left"/>
      <w:outlineLvl w:val="2"/>
    </w:pPr>
    <w:rPr>
      <w:rFonts w:ascii="宋体" w:hAnsi="宋体"/>
      <w:b/>
      <w:bCs/>
      <w:kern w:val="0"/>
      <w:sz w:val="27"/>
      <w:szCs w:val="27"/>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5">
    <w:name w:val="annotation text"/>
    <w:basedOn w:val="1"/>
    <w:link w:val="40"/>
    <w:semiHidden/>
    <w:qFormat/>
    <w:uiPriority w:val="0"/>
    <w:pPr>
      <w:jc w:val="left"/>
    </w:pPr>
    <w:rPr>
      <w:szCs w:val="21"/>
    </w:rPr>
  </w:style>
  <w:style w:type="paragraph" w:styleId="6">
    <w:name w:val="Body Text"/>
    <w:basedOn w:val="1"/>
    <w:next w:val="7"/>
    <w:link w:val="42"/>
    <w:qFormat/>
    <w:uiPriority w:val="0"/>
    <w:rPr>
      <w:sz w:val="32"/>
    </w:rPr>
  </w:style>
  <w:style w:type="paragraph" w:customStyle="1" w:styleId="7">
    <w:name w:val="目录 82"/>
    <w:next w:val="1"/>
    <w:qFormat/>
    <w:uiPriority w:val="0"/>
    <w:pPr>
      <w:wordWrap w:val="0"/>
      <w:ind w:left="2550"/>
      <w:jc w:val="both"/>
    </w:pPr>
    <w:rPr>
      <w:rFonts w:ascii="Calibri" w:hAnsi="Calibri" w:eastAsia="宋体" w:cs="Times New Roman"/>
      <w:sz w:val="21"/>
      <w:lang w:val="en-US" w:eastAsia="zh-CN" w:bidi="ar-SA"/>
    </w:rPr>
  </w:style>
  <w:style w:type="paragraph" w:styleId="8">
    <w:name w:val="Plain Text"/>
    <w:basedOn w:val="1"/>
    <w:link w:val="38"/>
    <w:qFormat/>
    <w:uiPriority w:val="0"/>
    <w:rPr>
      <w:rFonts w:ascii="宋体" w:hAnsi="Courier New"/>
      <w:szCs w:val="21"/>
    </w:rPr>
  </w:style>
  <w:style w:type="paragraph" w:styleId="9">
    <w:name w:val="Date"/>
    <w:basedOn w:val="1"/>
    <w:next w:val="1"/>
    <w:qFormat/>
    <w:uiPriority w:val="0"/>
    <w:pPr>
      <w:ind w:left="100" w:leftChars="25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styleId="14">
    <w:name w:val="annotation subject"/>
    <w:basedOn w:val="5"/>
    <w:next w:val="5"/>
    <w:link w:val="41"/>
    <w:qFormat/>
    <w:uiPriority w:val="0"/>
    <w:rPr>
      <w:b/>
      <w:bCs/>
      <w:szCs w:val="24"/>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qFormat/>
    <w:uiPriority w:val="0"/>
    <w:rPr>
      <w:color w:val="800080"/>
      <w:u w:val="single"/>
    </w:rPr>
  </w:style>
  <w:style w:type="character" w:styleId="20">
    <w:name w:val="HTML Definition"/>
    <w:basedOn w:val="17"/>
    <w:semiHidden/>
    <w:unhideWhenUsed/>
    <w:qFormat/>
    <w:uiPriority w:val="0"/>
  </w:style>
  <w:style w:type="character" w:styleId="21">
    <w:name w:val="HTML Typewriter"/>
    <w:basedOn w:val="17"/>
    <w:semiHidden/>
    <w:unhideWhenUsed/>
    <w:qFormat/>
    <w:uiPriority w:val="0"/>
    <w:rPr>
      <w:rFonts w:ascii="monospace" w:hAnsi="monospace" w:eastAsia="monospace" w:cs="monospace"/>
      <w:sz w:val="20"/>
    </w:rPr>
  </w:style>
  <w:style w:type="character" w:styleId="22">
    <w:name w:val="HTML Acronym"/>
    <w:basedOn w:val="17"/>
    <w:semiHidden/>
    <w:unhideWhenUsed/>
    <w:qFormat/>
    <w:uiPriority w:val="0"/>
  </w:style>
  <w:style w:type="character" w:styleId="23">
    <w:name w:val="HTML Variable"/>
    <w:basedOn w:val="17"/>
    <w:semiHidden/>
    <w:unhideWhenUsed/>
    <w:qFormat/>
    <w:uiPriority w:val="0"/>
  </w:style>
  <w:style w:type="character" w:styleId="24">
    <w:name w:val="Hyperlink"/>
    <w:qFormat/>
    <w:uiPriority w:val="99"/>
    <w:rPr>
      <w:color w:val="0000FF"/>
      <w:u w:val="single"/>
    </w:rPr>
  </w:style>
  <w:style w:type="character" w:styleId="25">
    <w:name w:val="HTML Code"/>
    <w:basedOn w:val="17"/>
    <w:semiHidden/>
    <w:unhideWhenUsed/>
    <w:qFormat/>
    <w:uiPriority w:val="0"/>
    <w:rPr>
      <w:rFonts w:hint="default" w:ascii="monospace" w:hAnsi="monospace" w:eastAsia="monospace" w:cs="monospace"/>
      <w:sz w:val="20"/>
    </w:rPr>
  </w:style>
  <w:style w:type="character" w:styleId="26">
    <w:name w:val="annotation reference"/>
    <w:semiHidden/>
    <w:qFormat/>
    <w:uiPriority w:val="0"/>
    <w:rPr>
      <w:sz w:val="21"/>
      <w:szCs w:val="21"/>
    </w:rPr>
  </w:style>
  <w:style w:type="character" w:styleId="27">
    <w:name w:val="HTML Cite"/>
    <w:basedOn w:val="17"/>
    <w:semiHidden/>
    <w:unhideWhenUsed/>
    <w:qFormat/>
    <w:uiPriority w:val="0"/>
  </w:style>
  <w:style w:type="character" w:styleId="28">
    <w:name w:val="HTML Keyboard"/>
    <w:basedOn w:val="17"/>
    <w:semiHidden/>
    <w:unhideWhenUsed/>
    <w:qFormat/>
    <w:uiPriority w:val="0"/>
    <w:rPr>
      <w:rFonts w:hint="default" w:ascii="monospace" w:hAnsi="monospace" w:eastAsia="monospace" w:cs="monospace"/>
      <w:sz w:val="20"/>
    </w:rPr>
  </w:style>
  <w:style w:type="character" w:styleId="29">
    <w:name w:val="HTML Sample"/>
    <w:basedOn w:val="17"/>
    <w:semiHidden/>
    <w:unhideWhenUsed/>
    <w:qFormat/>
    <w:uiPriority w:val="0"/>
    <w:rPr>
      <w:rFonts w:hint="default" w:ascii="monospace" w:hAnsi="monospace" w:eastAsia="monospace" w:cs="monospace"/>
    </w:rPr>
  </w:style>
  <w:style w:type="paragraph" w:customStyle="1" w:styleId="30">
    <w:name w:val="Body Text First Indent 21"/>
    <w:basedOn w:val="31"/>
    <w:next w:val="1"/>
    <w:qFormat/>
    <w:uiPriority w:val="0"/>
    <w:pPr>
      <w:spacing w:line="360" w:lineRule="auto"/>
      <w:ind w:left="0" w:leftChars="0" w:firstLine="420" w:firstLineChars="200"/>
    </w:pPr>
    <w:rPr>
      <w:rFonts w:ascii="宋体" w:hAnsi="宋体" w:eastAsia="仿宋_GB2312" w:cs="宋体"/>
      <w:sz w:val="25"/>
    </w:rPr>
  </w:style>
  <w:style w:type="paragraph" w:customStyle="1" w:styleId="31">
    <w:name w:val="Body Text Indent1"/>
    <w:basedOn w:val="1"/>
    <w:next w:val="32"/>
    <w:qFormat/>
    <w:uiPriority w:val="0"/>
    <w:pPr>
      <w:ind w:left="420" w:leftChars="200"/>
    </w:pPr>
    <w:rPr>
      <w:rFonts w:ascii="Times New Roman" w:hAnsi="Times New Roman"/>
    </w:rPr>
  </w:style>
  <w:style w:type="paragraph" w:customStyle="1" w:styleId="32">
    <w:name w:val="envelope return1"/>
    <w:basedOn w:val="1"/>
    <w:qFormat/>
    <w:uiPriority w:val="0"/>
    <w:pPr>
      <w:snapToGrid w:val="0"/>
    </w:pPr>
    <w:rPr>
      <w:rFonts w:ascii="Arial" w:hAnsi="Arial" w:eastAsia="楷体_GB2312"/>
      <w:sz w:val="26"/>
      <w:szCs w:val="20"/>
    </w:rPr>
  </w:style>
  <w:style w:type="paragraph" w:customStyle="1" w:styleId="33">
    <w:name w:val="正文文本首行缩进 2"/>
    <w:unhideWhenUsed/>
    <w:qFormat/>
    <w:uiPriority w:val="99"/>
    <w:pPr>
      <w:ind w:firstLine="420" w:firstLineChars="200"/>
    </w:pPr>
    <w:rPr>
      <w:rFonts w:ascii="Calibri" w:hAnsi="Calibri" w:eastAsia="宋体" w:cs="Times New Roman"/>
      <w:szCs w:val="26"/>
      <w:lang w:val="en-US" w:eastAsia="zh-CN" w:bidi="ar-SA"/>
    </w:rPr>
  </w:style>
  <w:style w:type="paragraph" w:customStyle="1" w:styleId="34">
    <w:name w:val="段"/>
    <w:basedOn w:val="1"/>
    <w:next w:val="1"/>
    <w:qFormat/>
    <w:uiPriority w:val="0"/>
    <w:pPr>
      <w:widowControl/>
      <w:autoSpaceDE w:val="0"/>
      <w:autoSpaceDN w:val="0"/>
      <w:ind w:firstLine="200" w:firstLineChars="200"/>
    </w:pPr>
    <w:rPr>
      <w:rFonts w:hint="eastAsia" w:ascii="宋体"/>
      <w:kern w:val="0"/>
      <w:szCs w:val="20"/>
    </w:rPr>
  </w:style>
  <w:style w:type="character" w:customStyle="1" w:styleId="35">
    <w:name w:val="页眉 Char"/>
    <w:link w:val="12"/>
    <w:qFormat/>
    <w:uiPriority w:val="99"/>
    <w:rPr>
      <w:kern w:val="2"/>
      <w:sz w:val="18"/>
      <w:szCs w:val="18"/>
    </w:rPr>
  </w:style>
  <w:style w:type="character" w:customStyle="1" w:styleId="36">
    <w:name w:val="正文文本缩进 Char"/>
    <w:qFormat/>
    <w:uiPriority w:val="0"/>
    <w:rPr>
      <w:kern w:val="2"/>
      <w:sz w:val="24"/>
      <w:lang w:bidi="ar-SA"/>
    </w:rPr>
  </w:style>
  <w:style w:type="character" w:customStyle="1" w:styleId="37">
    <w:name w:val="标题 3 Char"/>
    <w:link w:val="3"/>
    <w:qFormat/>
    <w:uiPriority w:val="0"/>
    <w:rPr>
      <w:rFonts w:ascii="宋体" w:hAnsi="宋体" w:cs="宋体"/>
      <w:b/>
      <w:bCs/>
      <w:sz w:val="27"/>
      <w:szCs w:val="27"/>
    </w:rPr>
  </w:style>
  <w:style w:type="character" w:customStyle="1" w:styleId="38">
    <w:name w:val="纯文本 Char"/>
    <w:link w:val="8"/>
    <w:qFormat/>
    <w:uiPriority w:val="0"/>
    <w:rPr>
      <w:rFonts w:ascii="宋体" w:hAnsi="Courier New" w:cs="Courier New"/>
      <w:kern w:val="2"/>
      <w:sz w:val="21"/>
      <w:szCs w:val="21"/>
    </w:rPr>
  </w:style>
  <w:style w:type="paragraph" w:customStyle="1" w:styleId="39">
    <w:name w:val="p0"/>
    <w:basedOn w:val="1"/>
    <w:qFormat/>
    <w:uiPriority w:val="0"/>
    <w:pPr>
      <w:widowControl/>
    </w:pPr>
    <w:rPr>
      <w:kern w:val="0"/>
      <w:szCs w:val="21"/>
    </w:rPr>
  </w:style>
  <w:style w:type="character" w:customStyle="1" w:styleId="40">
    <w:name w:val="批注文字 Char"/>
    <w:link w:val="5"/>
    <w:semiHidden/>
    <w:qFormat/>
    <w:uiPriority w:val="0"/>
    <w:rPr>
      <w:kern w:val="2"/>
      <w:sz w:val="21"/>
      <w:szCs w:val="21"/>
    </w:rPr>
  </w:style>
  <w:style w:type="character" w:customStyle="1" w:styleId="41">
    <w:name w:val="批注主题 Char"/>
    <w:link w:val="14"/>
    <w:qFormat/>
    <w:uiPriority w:val="0"/>
    <w:rPr>
      <w:b/>
      <w:bCs/>
      <w:kern w:val="2"/>
      <w:sz w:val="21"/>
      <w:szCs w:val="24"/>
    </w:rPr>
  </w:style>
  <w:style w:type="character" w:customStyle="1" w:styleId="42">
    <w:name w:val="正文文本 Char"/>
    <w:link w:val="6"/>
    <w:qFormat/>
    <w:uiPriority w:val="0"/>
    <w:rPr>
      <w:kern w:val="2"/>
      <w:sz w:val="32"/>
      <w:szCs w:val="24"/>
    </w:rPr>
  </w:style>
  <w:style w:type="character" w:customStyle="1" w:styleId="43">
    <w:name w:val="正文文本 (2)_"/>
    <w:link w:val="44"/>
    <w:qFormat/>
    <w:uiPriority w:val="99"/>
    <w:rPr>
      <w:rFonts w:ascii="宋体" w:cs="宋体"/>
      <w:shd w:val="clear" w:color="auto" w:fill="FFFFFF"/>
    </w:rPr>
  </w:style>
  <w:style w:type="paragraph" w:customStyle="1" w:styleId="44">
    <w:name w:val="正文文本 (2)"/>
    <w:basedOn w:val="1"/>
    <w:link w:val="43"/>
    <w:qFormat/>
    <w:uiPriority w:val="99"/>
    <w:pPr>
      <w:shd w:val="clear" w:color="auto" w:fill="FFFFFF"/>
      <w:spacing w:before="240" w:line="466" w:lineRule="exact"/>
      <w:ind w:firstLine="200" w:firstLineChars="200"/>
      <w:jc w:val="distribute"/>
    </w:pPr>
    <w:rPr>
      <w:rFonts w:ascii="宋体" w:cs="宋体"/>
      <w:kern w:val="0"/>
      <w:sz w:val="20"/>
      <w:szCs w:val="20"/>
    </w:rPr>
  </w:style>
  <w:style w:type="paragraph" w:customStyle="1" w:styleId="4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6">
    <w:name w:val="表头文字"/>
    <w:basedOn w:val="1"/>
    <w:qFormat/>
    <w:uiPriority w:val="0"/>
    <w:pPr>
      <w:adjustRightInd w:val="0"/>
      <w:snapToGrid w:val="0"/>
      <w:spacing w:line="312" w:lineRule="auto"/>
      <w:ind w:left="734" w:hanging="734" w:hangingChars="306"/>
      <w:jc w:val="center"/>
    </w:pPr>
    <w:rPr>
      <w:rFonts w:ascii="Times New Roman" w:hAnsi="Times New Roman" w:eastAsia="宋体" w:cs="Times New Roman"/>
      <w:sz w:val="24"/>
      <w:szCs w:val="20"/>
    </w:rPr>
  </w:style>
  <w:style w:type="paragraph" w:customStyle="1" w:styleId="47">
    <w:name w:val="表内文字"/>
    <w:basedOn w:val="1"/>
    <w:qFormat/>
    <w:uiPriority w:val="0"/>
    <w:pPr>
      <w:adjustRightInd w:val="0"/>
      <w:snapToGrid w:val="0"/>
      <w:spacing w:line="312" w:lineRule="auto"/>
      <w:jc w:val="center"/>
    </w:pPr>
    <w:rPr>
      <w:rFonts w:ascii="Times New Roman" w:hAnsi="Times New Roman" w:eastAsia="宋体" w:cs="Times New Roman"/>
      <w:color w:val="000000"/>
      <w:sz w:val="21"/>
      <w:szCs w:val="20"/>
    </w:rPr>
  </w:style>
  <w:style w:type="character" w:customStyle="1" w:styleId="48">
    <w:name w:val="hover"/>
    <w:basedOn w:val="17"/>
    <w:qFormat/>
    <w:uiPriority w:val="0"/>
    <w:rPr>
      <w:color w:val="5FB878"/>
    </w:rPr>
  </w:style>
  <w:style w:type="character" w:customStyle="1" w:styleId="49">
    <w:name w:val="hover1"/>
    <w:basedOn w:val="17"/>
    <w:qFormat/>
    <w:uiPriority w:val="0"/>
    <w:rPr>
      <w:color w:val="5FB878"/>
    </w:rPr>
  </w:style>
  <w:style w:type="character" w:customStyle="1" w:styleId="50">
    <w:name w:val="hover2"/>
    <w:basedOn w:val="17"/>
    <w:qFormat/>
    <w:uiPriority w:val="0"/>
    <w:rPr>
      <w:color w:val="FFFFFF"/>
    </w:rPr>
  </w:style>
  <w:style w:type="character" w:customStyle="1" w:styleId="51">
    <w:name w:val="first-child"/>
    <w:basedOn w:val="17"/>
    <w:qFormat/>
    <w:uiPriority w:val="0"/>
  </w:style>
  <w:style w:type="character" w:customStyle="1" w:styleId="52">
    <w:name w:val="layui-this"/>
    <w:basedOn w:val="17"/>
    <w:qFormat/>
    <w:uiPriority w:val="0"/>
    <w:rPr>
      <w:bdr w:val="single" w:color="EEEEEE" w:sz="6" w:space="0"/>
      <w:shd w:val="clear" w:fill="FFFFFF"/>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0A7565-E3E8-45D7-BCE1-C272A0D910F3}">
  <ds:schemaRefs/>
</ds:datastoreItem>
</file>

<file path=docProps/app.xml><?xml version="1.0" encoding="utf-8"?>
<Properties xmlns="http://schemas.openxmlformats.org/officeDocument/2006/extended-properties" xmlns:vt="http://schemas.openxmlformats.org/officeDocument/2006/docPropsVTypes">
  <Template>Normal.dotm</Template>
  <Company>ntwater.com</Company>
  <Pages>24</Pages>
  <Words>11079</Words>
  <Characters>11655</Characters>
  <Lines>140</Lines>
  <Paragraphs>39</Paragraphs>
  <TotalTime>53</TotalTime>
  <ScaleCrop>false</ScaleCrop>
  <LinksUpToDate>false</LinksUpToDate>
  <CharactersWithSpaces>12310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2023-03-07T03:00:00Z</dcterms:created>
  <dc:creator>ZhangY</dc:creator>
  <cp:lastModifiedBy>多宝鱼</cp:lastModifiedBy>
  <cp:lastPrinted>2023-03-01T08:11:00Z</cp:lastPrinted>
  <dcterms:modified xsi:type="dcterms:W3CDTF">2023-09-06T06:38:47Z</dcterms:modified>
  <dc:title>通州区一级河道（通吕运河、遥望港、通扬运河、通启河）淤积方测量</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8AB071A6E35B4D9289425F8B513511B0_13</vt:lpwstr>
  </property>
</Properties>
</file>