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大标宋简体" w:cs="方正大标宋简体"/>
          <w:sz w:val="44"/>
          <w:szCs w:val="44"/>
          <w:lang w:val="en-US" w:eastAsia="zh-CN"/>
        </w:rPr>
      </w:pPr>
      <w:r>
        <w:rPr>
          <w:rFonts w:hint="eastAsia" w:ascii="Times New Roman" w:hAnsi="Times New Roman" w:eastAsia="方正大标宋简体" w:cs="方正大标宋简体"/>
          <w:sz w:val="44"/>
          <w:szCs w:val="44"/>
          <w:lang w:val="en-US" w:eastAsia="zh-CN"/>
        </w:rPr>
        <w:t>废旧物资残值回收招标公告</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Times New Roman" w:hAnsi="Times New Roman" w:eastAsia="方正大标宋简体" w:cs="方正大标宋简体"/>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 xml:space="preserve">    为科学处置废旧资产设备，实现资源的合理化配置，现对南通市中央创新区科创产业发展有限公司废弃高压电缆、燃气调压站及配件、管道钢构支撑回收项目，面向社会公开招标，公告如下：</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 xml:space="preserve">    </w:t>
      </w:r>
      <w:r>
        <w:rPr>
          <w:rFonts w:hint="eastAsia" w:ascii="Times New Roman" w:hAnsi="Times New Roman" w:eastAsia="黑体" w:cs="黑体"/>
          <w:sz w:val="32"/>
          <w:szCs w:val="32"/>
          <w:highlight w:val="none"/>
          <w:lang w:val="en-US" w:eastAsia="zh-CN"/>
        </w:rPr>
        <w:t>一、项目内容</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 xml:space="preserve">    南通市中央创新区科创产业发展有限公司废弃高压电缆、燃气调压站及配件、管道钢构支撑回收项目，内容主要包括：高压电缆（规格3*70）约1400米、燃气调压站及配件1套、管道钢构支撑（H型钢）约5吨，具体以现场勘察为准。</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黑体"/>
          <w:sz w:val="32"/>
          <w:szCs w:val="32"/>
          <w:highlight w:val="none"/>
          <w:lang w:val="en-US" w:eastAsia="zh-CN"/>
        </w:rPr>
      </w:pPr>
      <w:r>
        <w:rPr>
          <w:rFonts w:hint="eastAsia" w:ascii="Times New Roman" w:hAnsi="Times New Roman" w:eastAsia="黑体" w:cs="黑体"/>
          <w:sz w:val="32"/>
          <w:szCs w:val="32"/>
          <w:highlight w:val="none"/>
          <w:lang w:val="en-US" w:eastAsia="zh-CN"/>
        </w:rPr>
        <w:t>二、投标时间、地点</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时间：2022年9月1日下午14:00。</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地点：南通市崇州大道60号紫琅科技城6号楼805会议室。</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黑体"/>
          <w:sz w:val="32"/>
          <w:szCs w:val="32"/>
          <w:highlight w:val="none"/>
          <w:lang w:val="en-US" w:eastAsia="zh-CN"/>
        </w:rPr>
      </w:pPr>
      <w:r>
        <w:rPr>
          <w:rFonts w:hint="eastAsia" w:ascii="Times New Roman" w:hAnsi="Times New Roman" w:eastAsia="黑体" w:cs="黑体"/>
          <w:sz w:val="32"/>
          <w:szCs w:val="32"/>
          <w:highlight w:val="none"/>
          <w:lang w:val="en-US" w:eastAsia="zh-CN"/>
        </w:rPr>
        <w:t>三、项目资金及计划完成日期</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本项目最低限价为：105000.00元人民币，报价低于等于最低限价者为无效标，高于最低限价者为有效标。</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中标单位须在2022年9月9日前，将相关回收物品取走。</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黑体"/>
          <w:sz w:val="32"/>
          <w:szCs w:val="32"/>
          <w:highlight w:val="none"/>
          <w:lang w:val="en-US" w:eastAsia="zh-CN"/>
        </w:rPr>
      </w:pPr>
      <w:r>
        <w:rPr>
          <w:rFonts w:hint="eastAsia" w:ascii="Times New Roman" w:hAnsi="Times New Roman" w:eastAsia="黑体" w:cs="黑体"/>
          <w:sz w:val="32"/>
          <w:szCs w:val="32"/>
          <w:highlight w:val="none"/>
          <w:lang w:val="en-US" w:eastAsia="zh-CN"/>
        </w:rPr>
        <w:t>四、勘察现场</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投标单位（或个人）自行进行踏勘，以便获取有关报价所涉及的信息。各投标人可在工作日的工作时间踏勘，踏勘地点：南通万豪酒店项目部，联系人：沈新章，联系电话：18</w:t>
      </w:r>
      <w:bookmarkStart w:id="0" w:name="_GoBack"/>
      <w:bookmarkEnd w:id="0"/>
      <w:r>
        <w:rPr>
          <w:rFonts w:hint="eastAsia" w:ascii="Times New Roman" w:hAnsi="Times New Roman" w:eastAsia="仿宋_GB2312" w:cs="仿宋_GB2312"/>
          <w:sz w:val="32"/>
          <w:szCs w:val="32"/>
          <w:highlight w:val="none"/>
          <w:lang w:val="en-US" w:eastAsia="zh-CN"/>
        </w:rPr>
        <w:t>206274686；江苏中房电力安装工程有限公司仓库（1180米高压电缆存放处），联系人：朱建林，联系电话：13814607930。</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经联系人允许，投标人可进入项目现场。踏勘过程中，投标单位应承担踏勘现场的责任和风险，不得使本单位承担有关的责任和蒙受损失。</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黑体"/>
          <w:sz w:val="32"/>
          <w:szCs w:val="32"/>
          <w:highlight w:val="none"/>
          <w:lang w:val="en-US" w:eastAsia="zh-CN"/>
        </w:rPr>
      </w:pPr>
      <w:r>
        <w:rPr>
          <w:rFonts w:hint="eastAsia" w:ascii="Times New Roman" w:hAnsi="Times New Roman" w:eastAsia="黑体" w:cs="黑体"/>
          <w:sz w:val="32"/>
          <w:szCs w:val="32"/>
          <w:highlight w:val="none"/>
          <w:lang w:val="en-US" w:eastAsia="zh-CN"/>
        </w:rPr>
        <w:t>五、投标资格条件及投标文件要求</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1、投标单位（或个人）须符合《中华人民共和国政府采购法》第二十二条规定，具有良好的财务状况和商业信誉，并具备完成本次投标及相关工作能力。</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2、投标时除提供勘察现场承诺书、报价函（格式详见附件）外，还需提供以下资料：</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（1）独立法人：营业执照（副本）复印件（加盖公章）、法人授权委托书（格式自拟）；</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（2）自然人：身份证复印件（原件必须带至现场核查）。</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3、投标文件应密封递交（正本一份），没有按规定密封的投标文件将被拒绝。</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黑体"/>
          <w:sz w:val="32"/>
          <w:szCs w:val="32"/>
          <w:highlight w:val="none"/>
          <w:lang w:val="en-US" w:eastAsia="zh-CN"/>
        </w:rPr>
      </w:pPr>
      <w:r>
        <w:rPr>
          <w:rFonts w:hint="eastAsia" w:ascii="Times New Roman" w:hAnsi="Times New Roman" w:eastAsia="黑体" w:cs="黑体"/>
          <w:sz w:val="32"/>
          <w:szCs w:val="32"/>
          <w:highlight w:val="none"/>
          <w:lang w:val="en-US" w:eastAsia="zh-CN"/>
        </w:rPr>
        <w:t>六、定标原则</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由评审小组现场评审，以投标报价最高的为中标人。如最高报价出现相同的，则由最高报价相同的投标人现场重新报价确定。</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黑体"/>
          <w:sz w:val="32"/>
          <w:szCs w:val="32"/>
          <w:highlight w:val="none"/>
          <w:lang w:val="en-US" w:eastAsia="zh-CN"/>
        </w:rPr>
      </w:pPr>
      <w:r>
        <w:rPr>
          <w:rFonts w:hint="eastAsia" w:ascii="Times New Roman" w:hAnsi="Times New Roman" w:eastAsia="黑体" w:cs="黑体"/>
          <w:sz w:val="32"/>
          <w:szCs w:val="32"/>
          <w:highlight w:val="none"/>
          <w:lang w:val="en-US" w:eastAsia="zh-CN"/>
        </w:rPr>
        <w:t>七、付款方式</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中标人必须在中标后三天内、废旧物资清运前按中标价款一次性支付给出售人指定账户。</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黑体"/>
          <w:sz w:val="32"/>
          <w:szCs w:val="32"/>
          <w:highlight w:val="none"/>
          <w:lang w:val="en-US" w:eastAsia="zh-CN"/>
        </w:rPr>
      </w:pPr>
      <w:r>
        <w:rPr>
          <w:rFonts w:hint="eastAsia" w:ascii="Times New Roman" w:hAnsi="Times New Roman" w:eastAsia="黑体" w:cs="黑体"/>
          <w:sz w:val="32"/>
          <w:szCs w:val="32"/>
          <w:highlight w:val="none"/>
          <w:lang w:val="en-US" w:eastAsia="zh-CN"/>
        </w:rPr>
        <w:t>八、其他</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1、废旧物资清运过程中如出现环保、安全、价格风险等由中标人全权负责，并承担相关责任，出售人概不负责。</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2、投标人应承担其编制投标文件以及递交投标文件所涉及的一切费用。无论投标结果如何，招标人对上述费用不负任何责任。</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黑体" w:cs="黑体"/>
          <w:sz w:val="32"/>
          <w:szCs w:val="32"/>
          <w:highlight w:val="none"/>
          <w:lang w:val="en-US" w:eastAsia="zh-CN"/>
        </w:rPr>
      </w:pPr>
      <w:r>
        <w:rPr>
          <w:rFonts w:hint="eastAsia" w:ascii="Times New Roman" w:hAnsi="Times New Roman" w:eastAsia="黑体" w:cs="黑体"/>
          <w:sz w:val="32"/>
          <w:szCs w:val="32"/>
          <w:highlight w:val="none"/>
          <w:lang w:val="en-US" w:eastAsia="zh-CN"/>
        </w:rPr>
        <w:t>九、联系方式</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Fonts w:hint="default" w:ascii="Times New Roman" w:hAnsi="Times New Roman" w:eastAsia="仿宋_GB2312" w:cs="仿宋_GB2312"/>
          <w:sz w:val="32"/>
          <w:szCs w:val="32"/>
          <w:highlight w:val="none"/>
          <w:u w:val="none"/>
          <w:lang w:val="en-US" w:eastAsia="zh-CN"/>
        </w:rPr>
      </w:pPr>
      <w:r>
        <w:rPr>
          <w:rFonts w:hint="eastAsia" w:ascii="Times New Roman" w:hAnsi="Times New Roman" w:eastAsia="仿宋_GB2312" w:cs="仿宋_GB2312"/>
          <w:sz w:val="32"/>
          <w:szCs w:val="32"/>
          <w:highlight w:val="none"/>
          <w:u w:val="none"/>
          <w:lang w:val="en-US" w:eastAsia="zh-CN"/>
        </w:rPr>
        <w:t>联系人：吴瑶，联系电话：59000007，18862757220。</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textAlignment w:val="auto"/>
        <w:rPr>
          <w:rFonts w:hint="eastAsia" w:ascii="Times New Roman" w:hAnsi="Times New Roman"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jc w:val="right"/>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 xml:space="preserve">南通市中央创新区科创产业发展有限公司        </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jc w:val="center"/>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 xml:space="preserve">                 2022年8月23日</w:t>
      </w:r>
    </w:p>
    <w:p>
      <w:pPr>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br w:type="page"/>
      </w:r>
    </w:p>
    <w:p>
      <w:pPr>
        <w:keepNext w:val="0"/>
        <w:keepLines w:val="0"/>
        <w:pageBreakBefore w:val="0"/>
        <w:widowControl w:val="0"/>
        <w:numPr>
          <w:ilvl w:val="0"/>
          <w:numId w:val="1"/>
        </w:numPr>
        <w:kinsoku/>
        <w:wordWrap/>
        <w:overflowPunct/>
        <w:topLinePunct w:val="0"/>
        <w:autoSpaceDE/>
        <w:autoSpaceDN/>
        <w:bidi w:val="0"/>
        <w:adjustRightInd/>
        <w:snapToGrid w:val="0"/>
        <w:spacing w:line="580" w:lineRule="exact"/>
        <w:jc w:val="center"/>
        <w:textAlignment w:val="auto"/>
        <w:outlineLvl w:val="4"/>
        <w:rPr>
          <w:rFonts w:hint="eastAsia" w:ascii="Times New Roman" w:hAnsi="Times New Roman" w:eastAsia="方正大标宋简体" w:cs="方正大标宋简体"/>
          <w:b w:val="0"/>
          <w:bCs w:val="0"/>
          <w:sz w:val="44"/>
          <w:szCs w:val="44"/>
          <w:lang w:eastAsia="zh-CN"/>
        </w:rPr>
      </w:pPr>
      <w:r>
        <w:rPr>
          <w:rFonts w:hint="eastAsia" w:ascii="Times New Roman" w:hAnsi="Times New Roman" w:eastAsia="方正大标宋简体" w:cs="方正大标宋简体"/>
          <w:b w:val="0"/>
          <w:bCs w:val="0"/>
          <w:sz w:val="44"/>
          <w:szCs w:val="44"/>
          <w:lang w:val="en-US" w:eastAsia="zh-CN"/>
        </w:rPr>
        <w:t>科创产发</w:t>
      </w:r>
      <w:r>
        <w:rPr>
          <w:rFonts w:hint="eastAsia" w:ascii="Times New Roman" w:hAnsi="Times New Roman" w:eastAsia="方正大标宋简体" w:cs="方正大标宋简体"/>
          <w:b w:val="0"/>
          <w:bCs w:val="0"/>
          <w:sz w:val="44"/>
          <w:szCs w:val="44"/>
          <w:lang w:eastAsia="zh-CN"/>
        </w:rPr>
        <w:t>公司</w:t>
      </w:r>
      <w:r>
        <w:rPr>
          <w:rFonts w:hint="eastAsia" w:ascii="Times New Roman" w:hAnsi="Times New Roman" w:eastAsia="方正大标宋简体" w:cs="方正大标宋简体"/>
          <w:b w:val="0"/>
          <w:bCs w:val="0"/>
          <w:sz w:val="44"/>
          <w:szCs w:val="44"/>
          <w:lang w:val="en-US" w:eastAsia="zh-CN"/>
        </w:rPr>
        <w:t>废弃高压电缆、燃气调压站及配件、管道钢构支撑</w:t>
      </w:r>
      <w:r>
        <w:rPr>
          <w:rFonts w:hint="eastAsia" w:ascii="Times New Roman" w:hAnsi="Times New Roman" w:eastAsia="方正大标宋简体" w:cs="方正大标宋简体"/>
          <w:b w:val="0"/>
          <w:bCs w:val="0"/>
          <w:sz w:val="44"/>
          <w:szCs w:val="44"/>
          <w:lang w:eastAsia="zh-CN"/>
        </w:rPr>
        <w:t>回收清单</w:t>
      </w:r>
    </w:p>
    <w:p>
      <w:pPr>
        <w:pStyle w:val="8"/>
        <w:numPr>
          <w:ilvl w:val="0"/>
          <w:numId w:val="0"/>
        </w:numPr>
        <w:rPr>
          <w:rFonts w:hint="eastAsia"/>
          <w:lang w:eastAsia="zh-CN"/>
        </w:rPr>
      </w:pPr>
    </w:p>
    <w:tbl>
      <w:tblPr>
        <w:tblStyle w:val="9"/>
        <w:tblW w:w="8804" w:type="dxa"/>
        <w:tblInd w:w="0" w:type="dxa"/>
        <w:tblLayout w:type="fixed"/>
        <w:tblCellMar>
          <w:top w:w="0" w:type="dxa"/>
          <w:left w:w="0" w:type="dxa"/>
          <w:bottom w:w="0" w:type="dxa"/>
          <w:right w:w="0" w:type="dxa"/>
        </w:tblCellMar>
      </w:tblPr>
      <w:tblGrid>
        <w:gridCol w:w="701"/>
        <w:gridCol w:w="3009"/>
        <w:gridCol w:w="1125"/>
        <w:gridCol w:w="1276"/>
        <w:gridCol w:w="2693"/>
      </w:tblGrid>
      <w:tr>
        <w:tblPrEx>
          <w:tblCellMar>
            <w:top w:w="0" w:type="dxa"/>
            <w:left w:w="0" w:type="dxa"/>
            <w:bottom w:w="0" w:type="dxa"/>
            <w:right w:w="0" w:type="dxa"/>
          </w:tblCellMar>
        </w:tblPrEx>
        <w:trPr>
          <w:trHeight w:val="661" w:hRule="atLeast"/>
        </w:trPr>
        <w:tc>
          <w:tcPr>
            <w:tcW w:w="701"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序号</w:t>
            </w:r>
          </w:p>
        </w:tc>
        <w:tc>
          <w:tcPr>
            <w:tcW w:w="300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b/>
                <w:kern w:val="0"/>
                <w:sz w:val="32"/>
                <w:szCs w:val="32"/>
                <w:lang w:bidi="ar"/>
              </w:rPr>
            </w:pPr>
            <w:r>
              <w:rPr>
                <w:rFonts w:hint="eastAsia" w:ascii="Times New Roman" w:hAnsi="Times New Roman" w:eastAsia="仿宋_GB2312" w:cs="仿宋_GB2312"/>
                <w:b/>
                <w:kern w:val="0"/>
                <w:sz w:val="32"/>
                <w:szCs w:val="32"/>
                <w:lang w:bidi="ar"/>
              </w:rPr>
              <w:t>资产名称</w:t>
            </w:r>
          </w:p>
        </w:tc>
        <w:tc>
          <w:tcPr>
            <w:tcW w:w="1125" w:type="dxa"/>
            <w:tcBorders>
              <w:top w:val="single" w:color="000000" w:sz="4" w:space="0"/>
              <w:left w:val="nil"/>
              <w:bottom w:val="nil"/>
              <w:right w:val="single" w:color="auto"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b/>
                <w:kern w:val="0"/>
                <w:sz w:val="32"/>
                <w:szCs w:val="32"/>
                <w:lang w:bidi="ar"/>
              </w:rPr>
            </w:pPr>
            <w:r>
              <w:rPr>
                <w:rFonts w:hint="eastAsia" w:ascii="Times New Roman" w:hAnsi="Times New Roman" w:eastAsia="仿宋_GB2312" w:cs="仿宋_GB2312"/>
                <w:b/>
                <w:kern w:val="0"/>
                <w:sz w:val="32"/>
                <w:szCs w:val="32"/>
                <w:lang w:bidi="ar"/>
              </w:rPr>
              <w:t>单位</w:t>
            </w:r>
          </w:p>
        </w:tc>
        <w:tc>
          <w:tcPr>
            <w:tcW w:w="1276" w:type="dxa"/>
            <w:tcBorders>
              <w:top w:val="single" w:color="000000" w:sz="4" w:space="0"/>
              <w:left w:val="single" w:color="auto"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b/>
                <w:sz w:val="32"/>
                <w:szCs w:val="32"/>
              </w:rPr>
            </w:pPr>
            <w:r>
              <w:rPr>
                <w:rFonts w:hint="eastAsia" w:ascii="Times New Roman" w:hAnsi="Times New Roman" w:eastAsia="仿宋_GB2312" w:cs="仿宋_GB2312"/>
                <w:b/>
                <w:kern w:val="0"/>
                <w:sz w:val="32"/>
                <w:szCs w:val="32"/>
                <w:lang w:bidi="ar"/>
              </w:rPr>
              <w:t>数量</w:t>
            </w:r>
          </w:p>
        </w:tc>
        <w:tc>
          <w:tcPr>
            <w:tcW w:w="26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b/>
                <w:sz w:val="32"/>
                <w:szCs w:val="32"/>
              </w:rPr>
            </w:pPr>
            <w:r>
              <w:rPr>
                <w:rFonts w:hint="eastAsia" w:ascii="Times New Roman" w:hAnsi="Times New Roman" w:eastAsia="仿宋_GB2312" w:cs="仿宋_GB2312"/>
                <w:b/>
                <w:kern w:val="0"/>
                <w:sz w:val="32"/>
                <w:szCs w:val="32"/>
                <w:lang w:bidi="ar"/>
              </w:rPr>
              <w:t>备注</w:t>
            </w:r>
          </w:p>
        </w:tc>
      </w:tr>
      <w:tr>
        <w:tblPrEx>
          <w:tblCellMar>
            <w:top w:w="0" w:type="dxa"/>
            <w:left w:w="0" w:type="dxa"/>
            <w:bottom w:w="0" w:type="dxa"/>
            <w:right w:w="0" w:type="dxa"/>
          </w:tblCellMar>
        </w:tblPrEx>
        <w:trPr>
          <w:trHeight w:val="670" w:hRule="atLeast"/>
        </w:trPr>
        <w:tc>
          <w:tcPr>
            <w:tcW w:w="701" w:type="dxa"/>
            <w:tcBorders>
              <w:top w:val="single" w:color="000000" w:sz="4" w:space="0"/>
              <w:left w:val="single" w:color="000000" w:sz="4" w:space="0"/>
              <w:bottom w:val="nil"/>
              <w:right w:val="single" w:color="auto"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w:t>
            </w:r>
          </w:p>
        </w:tc>
        <w:tc>
          <w:tcPr>
            <w:tcW w:w="3009" w:type="dxa"/>
            <w:tcBorders>
              <w:top w:val="single" w:color="000000" w:sz="4" w:space="0"/>
              <w:left w:val="single" w:color="auto" w:sz="4" w:space="0"/>
              <w:bottom w:val="nil"/>
              <w:right w:val="single" w:color="000000" w:sz="4" w:space="0"/>
            </w:tcBorders>
            <w:noWrap w:val="0"/>
            <w:tcMar>
              <w:top w:w="15" w:type="dxa"/>
              <w:left w:w="15" w:type="dxa"/>
              <w:right w:w="15" w:type="dxa"/>
            </w:tcMar>
            <w:vAlign w:val="center"/>
          </w:tcPr>
          <w:p>
            <w:pPr>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highlight w:val="none"/>
                <w:lang w:val="en-US" w:eastAsia="zh-CN"/>
              </w:rPr>
              <w:t>高压电缆（规格3*70）</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Times New Roman" w:hAnsi="Times New Roman" w:eastAsia="仿宋_GB2312" w:cs="仿宋_GB2312"/>
                <w:color w:val="000000"/>
                <w:kern w:val="0"/>
                <w:sz w:val="32"/>
                <w:szCs w:val="32"/>
                <w:lang w:eastAsia="zh-CN"/>
              </w:rPr>
            </w:pPr>
            <w:r>
              <w:rPr>
                <w:rFonts w:hint="eastAsia" w:ascii="Times New Roman" w:hAnsi="Times New Roman" w:eastAsia="仿宋_GB2312" w:cs="仿宋_GB2312"/>
                <w:color w:val="000000"/>
                <w:kern w:val="0"/>
                <w:sz w:val="32"/>
                <w:szCs w:val="32"/>
                <w:lang w:val="en-US" w:eastAsia="zh-CN"/>
              </w:rPr>
              <w:t>米</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default" w:ascii="Times New Roman" w:hAnsi="Times New Roman" w:eastAsia="仿宋_GB2312" w:cs="仿宋_GB2312"/>
                <w:color w:val="000000"/>
                <w:kern w:val="0"/>
                <w:sz w:val="32"/>
                <w:szCs w:val="32"/>
                <w:lang w:val="en-US" w:eastAsia="zh-CN"/>
              </w:rPr>
            </w:pPr>
            <w:r>
              <w:rPr>
                <w:rFonts w:hint="eastAsia" w:ascii="Times New Roman" w:hAnsi="Times New Roman" w:eastAsia="仿宋_GB2312" w:cs="仿宋_GB2312"/>
                <w:color w:val="000000"/>
                <w:kern w:val="0"/>
                <w:sz w:val="32"/>
                <w:szCs w:val="32"/>
                <w:lang w:val="en-US" w:eastAsia="zh-CN"/>
              </w:rPr>
              <w:t>1400</w:t>
            </w:r>
          </w:p>
        </w:tc>
        <w:tc>
          <w:tcPr>
            <w:tcW w:w="269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报废</w:t>
            </w:r>
          </w:p>
        </w:tc>
      </w:tr>
      <w:tr>
        <w:tblPrEx>
          <w:tblCellMar>
            <w:top w:w="0" w:type="dxa"/>
            <w:left w:w="0" w:type="dxa"/>
            <w:bottom w:w="0" w:type="dxa"/>
            <w:right w:w="0" w:type="dxa"/>
          </w:tblCellMar>
        </w:tblPrEx>
        <w:trPr>
          <w:trHeight w:val="833" w:hRule="atLeast"/>
        </w:trPr>
        <w:tc>
          <w:tcPr>
            <w:tcW w:w="701" w:type="dxa"/>
            <w:tcBorders>
              <w:top w:val="single" w:color="000000" w:sz="4" w:space="0"/>
              <w:left w:val="single" w:color="000000" w:sz="4" w:space="0"/>
              <w:bottom w:val="nil"/>
              <w:right w:val="single" w:color="auto"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w:t>
            </w:r>
          </w:p>
        </w:tc>
        <w:tc>
          <w:tcPr>
            <w:tcW w:w="3009" w:type="dxa"/>
            <w:tcBorders>
              <w:top w:val="single" w:color="000000" w:sz="4" w:space="0"/>
              <w:left w:val="single" w:color="auto" w:sz="4" w:space="0"/>
              <w:bottom w:val="nil"/>
              <w:right w:val="single" w:color="000000" w:sz="4" w:space="0"/>
            </w:tcBorders>
            <w:noWrap w:val="0"/>
            <w:tcMar>
              <w:top w:w="15" w:type="dxa"/>
              <w:left w:w="15" w:type="dxa"/>
              <w:right w:w="15" w:type="dxa"/>
            </w:tcMar>
            <w:vAlign w:val="center"/>
          </w:tcPr>
          <w:p>
            <w:pPr>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highlight w:val="none"/>
                <w:lang w:val="en-US" w:eastAsia="zh-CN"/>
              </w:rPr>
              <w:t>燃气调压站及配件</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Times New Roman" w:hAnsi="Times New Roman" w:eastAsia="仿宋_GB2312" w:cs="仿宋_GB2312"/>
                <w:color w:val="000000"/>
                <w:kern w:val="0"/>
                <w:sz w:val="32"/>
                <w:szCs w:val="32"/>
                <w:lang w:val="en-US" w:eastAsia="zh-CN"/>
              </w:rPr>
            </w:pPr>
            <w:r>
              <w:rPr>
                <w:rFonts w:hint="eastAsia" w:ascii="Times New Roman" w:hAnsi="Times New Roman" w:eastAsia="仿宋_GB2312" w:cs="仿宋_GB2312"/>
                <w:color w:val="000000"/>
                <w:kern w:val="0"/>
                <w:sz w:val="32"/>
                <w:szCs w:val="32"/>
                <w:lang w:val="en-US" w:eastAsia="zh-CN"/>
              </w:rPr>
              <w:t>套</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Times New Roman" w:hAnsi="Times New Roman" w:eastAsia="仿宋_GB2312" w:cs="仿宋_GB2312"/>
                <w:color w:val="000000"/>
                <w:kern w:val="0"/>
                <w:sz w:val="32"/>
                <w:szCs w:val="32"/>
              </w:rPr>
            </w:pPr>
            <w:r>
              <w:rPr>
                <w:rFonts w:hint="eastAsia" w:ascii="Times New Roman" w:hAnsi="Times New Roman" w:eastAsia="仿宋_GB2312" w:cs="仿宋_GB2312"/>
                <w:color w:val="000000"/>
                <w:kern w:val="0"/>
                <w:sz w:val="32"/>
                <w:szCs w:val="32"/>
              </w:rPr>
              <w:t>1</w:t>
            </w:r>
          </w:p>
        </w:tc>
        <w:tc>
          <w:tcPr>
            <w:tcW w:w="2693" w:type="dxa"/>
            <w:vMerge w:val="continue"/>
            <w:tcBorders>
              <w:left w:val="single" w:color="000000" w:sz="4" w:space="0"/>
              <w:right w:val="single" w:color="000000" w:sz="4" w:space="0"/>
            </w:tcBorders>
            <w:noWrap w:val="0"/>
            <w:tcMar>
              <w:top w:w="15" w:type="dxa"/>
              <w:left w:w="15" w:type="dxa"/>
              <w:right w:w="15" w:type="dxa"/>
            </w:tcMar>
            <w:vAlign w:val="center"/>
          </w:tcPr>
          <w:p>
            <w:pPr>
              <w:jc w:val="center"/>
              <w:rPr>
                <w:rFonts w:hint="eastAsia" w:ascii="Times New Roman" w:hAnsi="Times New Roman" w:eastAsia="仿宋_GB2312" w:cs="仿宋_GB2312"/>
                <w:sz w:val="32"/>
                <w:szCs w:val="32"/>
              </w:rPr>
            </w:pPr>
          </w:p>
        </w:tc>
      </w:tr>
      <w:tr>
        <w:tblPrEx>
          <w:tblCellMar>
            <w:top w:w="0" w:type="dxa"/>
            <w:left w:w="0" w:type="dxa"/>
            <w:bottom w:w="0" w:type="dxa"/>
            <w:right w:w="0" w:type="dxa"/>
          </w:tblCellMar>
        </w:tblPrEx>
        <w:trPr>
          <w:trHeight w:val="685" w:hRule="atLeast"/>
        </w:trPr>
        <w:tc>
          <w:tcPr>
            <w:tcW w:w="701" w:type="dxa"/>
            <w:tcBorders>
              <w:top w:val="single" w:color="000000" w:sz="4" w:space="0"/>
              <w:left w:val="single" w:color="000000" w:sz="4" w:space="0"/>
              <w:bottom w:val="nil"/>
              <w:right w:val="single" w:color="auto"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w:t>
            </w:r>
          </w:p>
        </w:tc>
        <w:tc>
          <w:tcPr>
            <w:tcW w:w="3009" w:type="dxa"/>
            <w:tcBorders>
              <w:top w:val="single" w:color="000000" w:sz="4" w:space="0"/>
              <w:left w:val="single" w:color="auto" w:sz="4" w:space="0"/>
              <w:bottom w:val="nil"/>
              <w:right w:val="single" w:color="000000" w:sz="4" w:space="0"/>
            </w:tcBorders>
            <w:noWrap w:val="0"/>
            <w:tcMar>
              <w:top w:w="15" w:type="dxa"/>
              <w:left w:w="15" w:type="dxa"/>
              <w:right w:w="15" w:type="dxa"/>
            </w:tcMar>
            <w:vAlign w:val="center"/>
          </w:tcPr>
          <w:p>
            <w:pPr>
              <w:jc w:val="center"/>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管道钢构支撑</w:t>
            </w:r>
          </w:p>
          <w:p>
            <w:pPr>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highlight w:val="none"/>
                <w:lang w:val="en-US" w:eastAsia="zh-CN"/>
              </w:rPr>
              <w:t>（H型钢）</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default" w:ascii="Times New Roman" w:hAnsi="Times New Roman" w:eastAsia="仿宋_GB2312" w:cs="仿宋_GB2312"/>
                <w:color w:val="000000"/>
                <w:kern w:val="0"/>
                <w:sz w:val="32"/>
                <w:szCs w:val="32"/>
                <w:lang w:val="en-US" w:eastAsia="zh-CN"/>
              </w:rPr>
            </w:pPr>
            <w:r>
              <w:rPr>
                <w:rFonts w:hint="eastAsia" w:ascii="Times New Roman" w:hAnsi="Times New Roman" w:eastAsia="仿宋_GB2312" w:cs="仿宋_GB2312"/>
                <w:color w:val="000000"/>
                <w:kern w:val="0"/>
                <w:sz w:val="32"/>
                <w:szCs w:val="32"/>
                <w:lang w:val="en-US" w:eastAsia="zh-CN"/>
              </w:rPr>
              <w:t>吨</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Times New Roman" w:hAnsi="Times New Roman" w:eastAsia="仿宋_GB2312" w:cs="仿宋_GB2312"/>
                <w:color w:val="000000"/>
                <w:kern w:val="0"/>
                <w:sz w:val="32"/>
                <w:szCs w:val="32"/>
                <w:lang w:eastAsia="zh-CN"/>
              </w:rPr>
            </w:pPr>
            <w:r>
              <w:rPr>
                <w:rFonts w:hint="eastAsia" w:ascii="Times New Roman" w:hAnsi="Times New Roman" w:eastAsia="仿宋_GB2312" w:cs="仿宋_GB2312"/>
                <w:color w:val="000000"/>
                <w:kern w:val="0"/>
                <w:sz w:val="32"/>
                <w:szCs w:val="32"/>
                <w:lang w:val="en-US" w:eastAsia="zh-CN"/>
              </w:rPr>
              <w:t>5</w:t>
            </w:r>
          </w:p>
        </w:tc>
        <w:tc>
          <w:tcPr>
            <w:tcW w:w="2693" w:type="dxa"/>
            <w:vMerge w:val="continue"/>
            <w:tcBorders>
              <w:left w:val="single" w:color="000000" w:sz="4" w:space="0"/>
              <w:right w:val="single" w:color="000000" w:sz="4" w:space="0"/>
            </w:tcBorders>
            <w:noWrap w:val="0"/>
            <w:tcMar>
              <w:top w:w="15" w:type="dxa"/>
              <w:left w:w="15" w:type="dxa"/>
              <w:right w:w="15" w:type="dxa"/>
            </w:tcMar>
            <w:vAlign w:val="center"/>
          </w:tcPr>
          <w:p>
            <w:pPr>
              <w:jc w:val="center"/>
              <w:rPr>
                <w:rFonts w:hint="eastAsia" w:ascii="Times New Roman" w:hAnsi="Times New Roman" w:eastAsia="仿宋_GB2312" w:cs="仿宋_GB2312"/>
                <w:sz w:val="32"/>
                <w:szCs w:val="32"/>
              </w:rPr>
            </w:pPr>
          </w:p>
        </w:tc>
      </w:tr>
      <w:tr>
        <w:tblPrEx>
          <w:tblCellMar>
            <w:top w:w="0" w:type="dxa"/>
            <w:left w:w="0" w:type="dxa"/>
            <w:bottom w:w="0" w:type="dxa"/>
            <w:right w:w="0" w:type="dxa"/>
          </w:tblCellMar>
        </w:tblPrEx>
        <w:trPr>
          <w:trHeight w:val="821" w:hRule="atLeast"/>
        </w:trPr>
        <w:tc>
          <w:tcPr>
            <w:tcW w:w="701" w:type="dxa"/>
            <w:tcBorders>
              <w:top w:val="single" w:color="000000" w:sz="4" w:space="0"/>
              <w:left w:val="single" w:color="000000" w:sz="4" w:space="0"/>
              <w:bottom w:val="nil"/>
              <w:right w:val="single" w:color="auto"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w:t>
            </w:r>
          </w:p>
        </w:tc>
        <w:tc>
          <w:tcPr>
            <w:tcW w:w="3009" w:type="dxa"/>
            <w:tcBorders>
              <w:top w:val="single" w:color="000000" w:sz="4" w:space="0"/>
              <w:left w:val="single" w:color="auto" w:sz="4" w:space="0"/>
              <w:bottom w:val="nil"/>
              <w:right w:val="single" w:color="000000" w:sz="4" w:space="0"/>
            </w:tcBorders>
            <w:noWrap w:val="0"/>
            <w:tcMar>
              <w:top w:w="15" w:type="dxa"/>
              <w:left w:w="15" w:type="dxa"/>
              <w:right w:w="15" w:type="dxa"/>
            </w:tcMar>
            <w:vAlign w:val="center"/>
          </w:tcPr>
          <w:p>
            <w:pPr>
              <w:jc w:val="center"/>
              <w:rPr>
                <w:rFonts w:hint="eastAsia" w:ascii="Times New Roman" w:hAnsi="Times New Roman" w:eastAsia="仿宋_GB2312" w:cs="仿宋_GB2312"/>
                <w:sz w:val="32"/>
                <w:szCs w:val="32"/>
              </w:rPr>
            </w:pP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Times New Roman" w:hAnsi="Times New Roman" w:eastAsia="仿宋_GB2312" w:cs="仿宋_GB2312"/>
                <w:color w:val="000000"/>
                <w:kern w:val="0"/>
                <w:sz w:val="32"/>
                <w:szCs w:val="32"/>
              </w:rPr>
            </w:pP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rPr>
                <w:rFonts w:hint="eastAsia" w:ascii="Times New Roman" w:hAnsi="Times New Roman" w:eastAsia="仿宋_GB2312" w:cs="仿宋_GB2312"/>
                <w:color w:val="000000"/>
                <w:kern w:val="0"/>
                <w:sz w:val="32"/>
                <w:szCs w:val="32"/>
              </w:rPr>
            </w:pPr>
          </w:p>
        </w:tc>
        <w:tc>
          <w:tcPr>
            <w:tcW w:w="2693" w:type="dxa"/>
            <w:vMerge w:val="continue"/>
            <w:tcBorders>
              <w:left w:val="single" w:color="000000" w:sz="4" w:space="0"/>
              <w:right w:val="single" w:color="000000" w:sz="4" w:space="0"/>
            </w:tcBorders>
            <w:noWrap w:val="0"/>
            <w:tcMar>
              <w:top w:w="15" w:type="dxa"/>
              <w:left w:w="15" w:type="dxa"/>
              <w:right w:w="15" w:type="dxa"/>
            </w:tcMar>
            <w:vAlign w:val="center"/>
          </w:tcPr>
          <w:p>
            <w:pPr>
              <w:jc w:val="center"/>
              <w:rPr>
                <w:rFonts w:hint="eastAsia" w:ascii="Times New Roman" w:hAnsi="Times New Roman" w:eastAsia="仿宋_GB2312" w:cs="仿宋_GB2312"/>
                <w:sz w:val="32"/>
                <w:szCs w:val="32"/>
              </w:rPr>
            </w:pPr>
          </w:p>
        </w:tc>
      </w:tr>
      <w:tr>
        <w:tblPrEx>
          <w:tblCellMar>
            <w:top w:w="0" w:type="dxa"/>
            <w:left w:w="0" w:type="dxa"/>
            <w:bottom w:w="0" w:type="dxa"/>
            <w:right w:w="0" w:type="dxa"/>
          </w:tblCellMar>
        </w:tblPrEx>
        <w:trPr>
          <w:trHeight w:val="375" w:hRule="atLeast"/>
        </w:trPr>
        <w:tc>
          <w:tcPr>
            <w:tcW w:w="8804" w:type="dxa"/>
            <w:gridSpan w:val="5"/>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center"/>
              <w:rPr>
                <w:rFonts w:hint="eastAsia" w:ascii="Times New Roman" w:hAnsi="Times New Roman" w:eastAsia="仿宋_GB2312" w:cs="仿宋_GB2312"/>
                <w:b/>
                <w:kern w:val="0"/>
                <w:sz w:val="32"/>
                <w:szCs w:val="32"/>
                <w:lang w:bidi="ar"/>
              </w:rPr>
            </w:pPr>
            <w:r>
              <w:rPr>
                <w:rFonts w:hint="eastAsia" w:ascii="Times New Roman" w:hAnsi="Times New Roman" w:eastAsia="仿宋_GB2312" w:cs="仿宋_GB2312"/>
                <w:b/>
                <w:kern w:val="0"/>
                <w:sz w:val="32"/>
                <w:szCs w:val="32"/>
                <w:lang w:bidi="ar"/>
              </w:rPr>
              <w:t>注：</w:t>
            </w:r>
          </w:p>
          <w:p>
            <w:pPr>
              <w:widowControl/>
              <w:ind w:left="638" w:leftChars="304" w:firstLine="0" w:firstLineChars="0"/>
              <w:jc w:val="left"/>
              <w:textAlignment w:val="center"/>
              <w:rPr>
                <w:rFonts w:hint="eastAsia" w:ascii="Times New Roman" w:hAnsi="Times New Roman" w:eastAsia="仿宋_GB2312" w:cs="仿宋_GB2312"/>
                <w:b/>
                <w:kern w:val="0"/>
                <w:sz w:val="32"/>
                <w:szCs w:val="32"/>
                <w:lang w:eastAsia="zh-CN" w:bidi="ar"/>
              </w:rPr>
            </w:pPr>
            <w:r>
              <w:rPr>
                <w:rFonts w:hint="eastAsia" w:ascii="Times New Roman" w:hAnsi="Times New Roman" w:eastAsia="仿宋_GB2312" w:cs="仿宋_GB2312"/>
                <w:b/>
                <w:kern w:val="0"/>
                <w:sz w:val="32"/>
                <w:szCs w:val="32"/>
                <w:lang w:bidi="ar"/>
              </w:rPr>
              <w:t>一、</w:t>
            </w:r>
            <w:r>
              <w:rPr>
                <w:rFonts w:hint="eastAsia" w:ascii="Times New Roman" w:hAnsi="Times New Roman" w:eastAsia="仿宋_GB2312" w:cs="仿宋_GB2312"/>
                <w:b/>
                <w:kern w:val="0"/>
                <w:sz w:val="32"/>
                <w:szCs w:val="32"/>
                <w:lang w:val="en-US" w:eastAsia="zh-CN" w:bidi="ar"/>
              </w:rPr>
              <w:t>以上数量为预估，不作为报价基础。具体数量由投标人</w:t>
            </w:r>
            <w:r>
              <w:rPr>
                <w:rFonts w:hint="eastAsia" w:ascii="Times New Roman" w:hAnsi="Times New Roman" w:eastAsia="仿宋_GB2312" w:cs="仿宋_GB2312"/>
                <w:b/>
                <w:kern w:val="0"/>
                <w:sz w:val="32"/>
                <w:szCs w:val="32"/>
                <w:lang w:bidi="ar"/>
              </w:rPr>
              <w:t>自行踏勘现场</w:t>
            </w:r>
            <w:r>
              <w:rPr>
                <w:rFonts w:hint="eastAsia" w:ascii="Times New Roman" w:hAnsi="Times New Roman" w:eastAsia="仿宋_GB2312" w:cs="仿宋_GB2312"/>
                <w:b/>
                <w:kern w:val="0"/>
                <w:sz w:val="32"/>
                <w:szCs w:val="32"/>
                <w:lang w:val="en-US" w:eastAsia="zh-CN" w:bidi="ar"/>
              </w:rPr>
              <w:t>确定</w:t>
            </w:r>
            <w:r>
              <w:rPr>
                <w:rFonts w:hint="eastAsia" w:ascii="Times New Roman" w:hAnsi="Times New Roman" w:eastAsia="仿宋_GB2312" w:cs="仿宋_GB2312"/>
                <w:b/>
                <w:kern w:val="0"/>
                <w:sz w:val="32"/>
                <w:szCs w:val="32"/>
                <w:lang w:bidi="ar"/>
              </w:rPr>
              <w:t>。</w:t>
            </w:r>
          </w:p>
          <w:p>
            <w:pPr>
              <w:widowControl/>
              <w:ind w:left="638" w:leftChars="304" w:firstLine="0" w:firstLineChars="0"/>
              <w:jc w:val="left"/>
              <w:textAlignment w:val="center"/>
              <w:rPr>
                <w:rFonts w:hint="eastAsia" w:ascii="Times New Roman" w:hAnsi="Times New Roman" w:eastAsia="仿宋_GB2312" w:cs="仿宋_GB2312"/>
                <w:kern w:val="0"/>
                <w:sz w:val="32"/>
                <w:szCs w:val="32"/>
                <w:lang w:bidi="ar"/>
              </w:rPr>
            </w:pPr>
            <w:r>
              <w:rPr>
                <w:rFonts w:hint="eastAsia" w:ascii="Times New Roman" w:hAnsi="Times New Roman" w:eastAsia="仿宋_GB2312" w:cs="仿宋_GB2312"/>
                <w:b/>
                <w:kern w:val="0"/>
                <w:sz w:val="32"/>
                <w:szCs w:val="32"/>
                <w:lang w:bidi="ar"/>
              </w:rPr>
              <w:t>二</w:t>
            </w:r>
            <w:r>
              <w:rPr>
                <w:rFonts w:hint="eastAsia" w:ascii="Times New Roman" w:hAnsi="Times New Roman" w:eastAsia="仿宋_GB2312" w:cs="仿宋_GB2312"/>
                <w:b/>
                <w:kern w:val="0"/>
                <w:sz w:val="32"/>
                <w:szCs w:val="32"/>
                <w:lang w:eastAsia="zh-CN" w:bidi="ar"/>
              </w:rPr>
              <w:t>、</w:t>
            </w:r>
            <w:r>
              <w:rPr>
                <w:rFonts w:hint="eastAsia" w:ascii="Times New Roman" w:hAnsi="Times New Roman" w:eastAsia="仿宋_GB2312" w:cs="仿宋_GB2312"/>
                <w:b/>
                <w:kern w:val="0"/>
                <w:sz w:val="32"/>
                <w:szCs w:val="32"/>
                <w:lang w:bidi="ar"/>
              </w:rPr>
              <w:t>本项目投标报价为总价报价，一次性包定。</w:t>
            </w:r>
          </w:p>
        </w:tc>
      </w:tr>
    </w:tbl>
    <w:p>
      <w:pPr>
        <w:pStyle w:val="8"/>
        <w:ind w:left="0" w:firstLine="0" w:firstLineChars="0"/>
        <w:rPr>
          <w:rFonts w:hint="eastAsia" w:ascii="Times New Roman" w:hAnsi="Times New Roman" w:eastAsia="仿宋_GB2312" w:cs="仿宋_GB2312"/>
          <w:sz w:val="32"/>
          <w:szCs w:val="32"/>
        </w:rPr>
      </w:pPr>
    </w:p>
    <w:p>
      <w:pPr>
        <w:rPr>
          <w:rFonts w:hint="eastAsia" w:ascii="Times New Roman" w:hAnsi="Times New Roman" w:eastAsia="方正大标宋简体" w:cs="方正大标宋简体"/>
          <w:b w:val="0"/>
          <w:bCs w:val="0"/>
          <w:sz w:val="44"/>
          <w:szCs w:val="44"/>
          <w:lang w:eastAsia="zh-CN"/>
        </w:rPr>
      </w:pPr>
      <w:r>
        <w:rPr>
          <w:rFonts w:hint="eastAsia" w:ascii="Times New Roman" w:hAnsi="Times New Roman" w:eastAsia="方正大标宋简体" w:cs="方正大标宋简体"/>
          <w:b w:val="0"/>
          <w:bCs w:val="0"/>
          <w:sz w:val="44"/>
          <w:szCs w:val="44"/>
          <w:lang w:eastAsia="zh-CN"/>
        </w:rPr>
        <w:br w:type="page"/>
      </w:r>
    </w:p>
    <w:p>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jc w:val="center"/>
        <w:textAlignment w:val="auto"/>
        <w:outlineLvl w:val="4"/>
        <w:rPr>
          <w:rFonts w:hint="eastAsia" w:ascii="Times New Roman" w:hAnsi="Times New Roman" w:eastAsia="方正大标宋简体" w:cs="方正大标宋简体"/>
          <w:b w:val="0"/>
          <w:bCs w:val="0"/>
          <w:sz w:val="44"/>
          <w:szCs w:val="44"/>
        </w:rPr>
      </w:pPr>
      <w:r>
        <w:rPr>
          <w:rFonts w:hint="eastAsia" w:ascii="Times New Roman" w:hAnsi="Times New Roman" w:eastAsia="方正大标宋简体" w:cs="方正大标宋简体"/>
          <w:b w:val="0"/>
          <w:bCs w:val="0"/>
          <w:sz w:val="44"/>
          <w:szCs w:val="44"/>
        </w:rPr>
        <w:t>勘察现场承诺书</w:t>
      </w:r>
    </w:p>
    <w:p>
      <w:pPr>
        <w:pStyle w:val="8"/>
        <w:numPr>
          <w:ilvl w:val="0"/>
          <w:numId w:val="0"/>
        </w:numPr>
        <w:rPr>
          <w:rFonts w:hint="eastAsia"/>
        </w:rPr>
      </w:pPr>
    </w:p>
    <w:p>
      <w:pPr>
        <w:keepNext w:val="0"/>
        <w:keepLines w:val="0"/>
        <w:pageBreakBefore w:val="0"/>
        <w:widowControl w:val="0"/>
        <w:wordWrap/>
        <w:overflowPunct/>
        <w:autoSpaceDE/>
        <w:autoSpaceDN/>
        <w:bidi w:val="0"/>
        <w:adjustRightInd/>
        <w:spacing w:line="580" w:lineRule="exac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u w:val="single"/>
        </w:rPr>
        <w:t>南通市中央创新区</w:t>
      </w:r>
      <w:r>
        <w:rPr>
          <w:rFonts w:hint="eastAsia" w:ascii="Times New Roman" w:hAnsi="Times New Roman" w:eastAsia="仿宋_GB2312" w:cs="仿宋_GB2312"/>
          <w:sz w:val="32"/>
          <w:szCs w:val="32"/>
          <w:u w:val="single"/>
          <w:lang w:val="en-US" w:eastAsia="zh-CN"/>
        </w:rPr>
        <w:t>科创产业发展</w:t>
      </w:r>
      <w:r>
        <w:rPr>
          <w:rFonts w:hint="eastAsia" w:ascii="Times New Roman" w:hAnsi="Times New Roman" w:eastAsia="仿宋_GB2312" w:cs="仿宋_GB2312"/>
          <w:sz w:val="32"/>
          <w:szCs w:val="32"/>
          <w:u w:val="single"/>
        </w:rPr>
        <w:t>有限公司</w:t>
      </w:r>
      <w:r>
        <w:rPr>
          <w:rFonts w:hint="eastAsia" w:ascii="Times New Roman" w:hAnsi="Times New Roman" w:eastAsia="仿宋_GB2312" w:cs="仿宋_GB2312"/>
          <w:sz w:val="32"/>
          <w:szCs w:val="32"/>
        </w:rPr>
        <w:t>：</w:t>
      </w:r>
    </w:p>
    <w:p>
      <w:pPr>
        <w:keepNext w:val="0"/>
        <w:keepLines w:val="0"/>
        <w:pageBreakBefore w:val="0"/>
        <w:widowControl w:val="0"/>
        <w:wordWrap/>
        <w:overflowPunct/>
        <w:autoSpaceDE/>
        <w:autoSpaceDN/>
        <w:bidi w:val="0"/>
        <w:adjustRightInd/>
        <w:spacing w:line="58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依据贵单位 </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u w:val="single"/>
          <w:lang w:val="en-US" w:eastAsia="zh-CN"/>
        </w:rPr>
        <w:t>废弃高压电缆、燃气调压站及配件、管道钢构支撑回收</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（项目名称)项目</w:t>
      </w:r>
      <w:r>
        <w:rPr>
          <w:rFonts w:hint="eastAsia" w:ascii="Times New Roman" w:hAnsi="Times New Roman" w:eastAsia="仿宋_GB2312" w:cs="仿宋_GB2312"/>
          <w:sz w:val="32"/>
          <w:szCs w:val="32"/>
          <w:lang w:eastAsia="zh-CN"/>
        </w:rPr>
        <w:t>公告</w:t>
      </w:r>
      <w:r>
        <w:rPr>
          <w:rFonts w:hint="eastAsia" w:ascii="Times New Roman" w:hAnsi="Times New Roman" w:eastAsia="仿宋_GB2312" w:cs="仿宋_GB2312"/>
          <w:sz w:val="32"/>
          <w:szCs w:val="32"/>
        </w:rPr>
        <w:t>的要求。我方已于</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年</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 xml:space="preserve">月 </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 xml:space="preserve">日对该项目进行了现场勘察，现就现场勘察情况做如下承诺：  </w:t>
      </w:r>
    </w:p>
    <w:p>
      <w:pPr>
        <w:keepNext w:val="0"/>
        <w:keepLines w:val="0"/>
        <w:pageBreakBefore w:val="0"/>
        <w:widowControl w:val="0"/>
        <w:wordWrap/>
        <w:overflowPunct/>
        <w:autoSpaceDE/>
        <w:autoSpaceDN/>
        <w:bidi w:val="0"/>
        <w:adjustRightInd/>
        <w:spacing w:line="58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1、经现场勘察，我方已熟悉与该项目相关的工作、现场、环境、现场周围交通道路等所有情况。</w:t>
      </w:r>
    </w:p>
    <w:p>
      <w:pPr>
        <w:keepNext w:val="0"/>
        <w:keepLines w:val="0"/>
        <w:pageBreakBefore w:val="0"/>
        <w:widowControl w:val="0"/>
        <w:wordWrap/>
        <w:overflowPunct/>
        <w:autoSpaceDE/>
        <w:autoSpaceDN/>
        <w:bidi w:val="0"/>
        <w:adjustRightInd/>
        <w:spacing w:line="58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2、我方自行承担本次勘察现场的相关责任和风险。</w:t>
      </w:r>
    </w:p>
    <w:p>
      <w:pPr>
        <w:keepNext w:val="0"/>
        <w:keepLines w:val="0"/>
        <w:pageBreakBefore w:val="0"/>
        <w:widowControl w:val="0"/>
        <w:wordWrap/>
        <w:overflowPunct/>
        <w:autoSpaceDE/>
        <w:autoSpaceDN/>
        <w:bidi w:val="0"/>
        <w:adjustRightInd/>
        <w:spacing w:line="58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3、我方承诺在任何情况下均不以不完全了解现场情况为理由而向招标方提出投标报价以外的任何费用及任何不合理的要求。</w:t>
      </w:r>
    </w:p>
    <w:p>
      <w:pPr>
        <w:keepNext w:val="0"/>
        <w:keepLines w:val="0"/>
        <w:pageBreakBefore w:val="0"/>
        <w:widowControl w:val="0"/>
        <w:wordWrap/>
        <w:overflowPunct/>
        <w:autoSpaceDE/>
        <w:autoSpaceDN/>
        <w:bidi w:val="0"/>
        <w:adjustRightInd/>
        <w:spacing w:line="58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4、我方对现场的废品数量已核实，对此无任何异议。</w:t>
      </w:r>
    </w:p>
    <w:p>
      <w:pPr>
        <w:keepNext w:val="0"/>
        <w:keepLines w:val="0"/>
        <w:pageBreakBefore w:val="0"/>
        <w:widowControl w:val="0"/>
        <w:kinsoku w:val="0"/>
        <w:wordWrap/>
        <w:overflowPunct/>
        <w:topLinePunct/>
        <w:autoSpaceDE/>
        <w:autoSpaceDN/>
        <w:bidi w:val="0"/>
        <w:adjustRightInd/>
        <w:snapToGrid w:val="0"/>
        <w:spacing w:line="580" w:lineRule="exact"/>
        <w:textAlignment w:val="auto"/>
        <w:rPr>
          <w:rFonts w:hint="eastAsia" w:ascii="Times New Roman" w:hAnsi="Times New Roman" w:eastAsia="仿宋_GB2312" w:cs="仿宋_GB2312"/>
          <w:sz w:val="32"/>
          <w:szCs w:val="32"/>
        </w:rPr>
      </w:pPr>
    </w:p>
    <w:p>
      <w:pPr>
        <w:keepNext w:val="0"/>
        <w:keepLines w:val="0"/>
        <w:pageBreakBefore w:val="0"/>
        <w:widowControl w:val="0"/>
        <w:kinsoku w:val="0"/>
        <w:wordWrap/>
        <w:overflowPunct/>
        <w:topLinePunct/>
        <w:autoSpaceDE/>
        <w:autoSpaceDN/>
        <w:bidi w:val="0"/>
        <w:adjustRightInd/>
        <w:snapToGrid w:val="0"/>
        <w:spacing w:line="580" w:lineRule="exact"/>
        <w:textAlignment w:val="auto"/>
        <w:rPr>
          <w:rFonts w:hint="eastAsia" w:ascii="Times New Roman" w:hAnsi="Times New Roman" w:eastAsia="仿宋_GB2312" w:cs="仿宋_GB2312"/>
          <w:sz w:val="32"/>
          <w:szCs w:val="32"/>
        </w:rPr>
      </w:pPr>
    </w:p>
    <w:p>
      <w:pPr>
        <w:keepNext w:val="0"/>
        <w:keepLines w:val="0"/>
        <w:pageBreakBefore w:val="0"/>
        <w:widowControl w:val="0"/>
        <w:kinsoku w:val="0"/>
        <w:wordWrap/>
        <w:overflowPunct/>
        <w:topLinePunct/>
        <w:autoSpaceDE/>
        <w:autoSpaceDN/>
        <w:bidi w:val="0"/>
        <w:adjustRightInd/>
        <w:snapToGrid w:val="0"/>
        <w:spacing w:line="580" w:lineRule="exact"/>
        <w:ind w:firstLine="4480" w:firstLineChars="14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投标人：（盖章）       </w:t>
      </w:r>
    </w:p>
    <w:p>
      <w:pPr>
        <w:keepNext w:val="0"/>
        <w:keepLines w:val="0"/>
        <w:pageBreakBefore w:val="0"/>
        <w:widowControl w:val="0"/>
        <w:kinsoku w:val="0"/>
        <w:wordWrap/>
        <w:overflowPunct/>
        <w:topLinePunct/>
        <w:autoSpaceDE/>
        <w:autoSpaceDN/>
        <w:bidi w:val="0"/>
        <w:adjustRightInd/>
        <w:snapToGrid w:val="0"/>
        <w:spacing w:line="580" w:lineRule="exact"/>
        <w:ind w:firstLine="1920" w:firstLineChars="6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法定代表人或委托代理人：（签字或盖章）</w:t>
      </w:r>
    </w:p>
    <w:p>
      <w:pPr>
        <w:keepNext w:val="0"/>
        <w:keepLines w:val="0"/>
        <w:pageBreakBefore w:val="0"/>
        <w:widowControl w:val="0"/>
        <w:wordWrap/>
        <w:overflowPunct/>
        <w:autoSpaceDE/>
        <w:autoSpaceDN/>
        <w:bidi w:val="0"/>
        <w:adjustRightInd/>
        <w:spacing w:line="580" w:lineRule="exact"/>
        <w:ind w:firstLine="1920" w:firstLineChars="6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日期：</w:t>
      </w:r>
    </w:p>
    <w:p>
      <w:pPr>
        <w:spacing w:line="440" w:lineRule="exact"/>
        <w:jc w:val="center"/>
        <w:rPr>
          <w:rFonts w:hint="eastAsia" w:ascii="Times New Roman" w:hAnsi="Times New Roman" w:cs="宋体"/>
          <w:b/>
          <w:bCs/>
          <w:sz w:val="30"/>
        </w:rPr>
      </w:pPr>
    </w:p>
    <w:p>
      <w:pPr>
        <w:spacing w:line="440" w:lineRule="exact"/>
        <w:jc w:val="center"/>
        <w:rPr>
          <w:rFonts w:hint="eastAsia" w:ascii="Times New Roman" w:hAnsi="Times New Roman" w:cs="宋体"/>
          <w:b/>
          <w:bCs/>
          <w:sz w:val="30"/>
        </w:rPr>
      </w:pPr>
    </w:p>
    <w:p>
      <w:pPr>
        <w:spacing w:line="440" w:lineRule="exact"/>
        <w:jc w:val="center"/>
        <w:rPr>
          <w:rFonts w:hint="eastAsia" w:ascii="Times New Roman" w:hAnsi="Times New Roman" w:cs="宋体"/>
          <w:b/>
          <w:bCs/>
          <w:sz w:val="30"/>
        </w:rPr>
      </w:pPr>
    </w:p>
    <w:p>
      <w:pPr>
        <w:spacing w:line="440" w:lineRule="exact"/>
        <w:jc w:val="center"/>
        <w:rPr>
          <w:rFonts w:hint="eastAsia" w:ascii="Times New Roman" w:hAnsi="Times New Roman" w:cs="宋体"/>
          <w:b/>
          <w:bCs/>
          <w:sz w:val="30"/>
        </w:rPr>
      </w:pPr>
    </w:p>
    <w:p>
      <w:pPr>
        <w:keepNext w:val="0"/>
        <w:keepLines w:val="0"/>
        <w:pageBreakBefore w:val="0"/>
        <w:widowControl w:val="0"/>
        <w:kinsoku/>
        <w:wordWrap/>
        <w:overflowPunct/>
        <w:topLinePunct w:val="0"/>
        <w:autoSpaceDE/>
        <w:autoSpaceDN/>
        <w:bidi w:val="0"/>
        <w:adjustRightInd/>
        <w:snapToGrid w:val="0"/>
        <w:spacing w:line="580" w:lineRule="exact"/>
        <w:jc w:val="center"/>
        <w:textAlignment w:val="auto"/>
        <w:outlineLvl w:val="4"/>
        <w:rPr>
          <w:rFonts w:hint="eastAsia" w:ascii="Times New Roman" w:hAnsi="Times New Roman" w:eastAsia="方正大标宋简体" w:cs="方正大标宋简体"/>
          <w:b w:val="0"/>
          <w:bCs w:val="0"/>
          <w:sz w:val="44"/>
          <w:szCs w:val="44"/>
        </w:rPr>
      </w:pPr>
      <w:r>
        <w:rPr>
          <w:rFonts w:hint="eastAsia" w:ascii="Times New Roman" w:hAnsi="Times New Roman" w:eastAsia="方正大标宋简体" w:cs="方正大标宋简体"/>
          <w:b w:val="0"/>
          <w:bCs w:val="0"/>
          <w:sz w:val="44"/>
          <w:szCs w:val="44"/>
          <w:lang w:eastAsia="zh-CN"/>
        </w:rPr>
        <w:t>三</w:t>
      </w:r>
      <w:r>
        <w:rPr>
          <w:rFonts w:hint="eastAsia" w:ascii="Times New Roman" w:hAnsi="Times New Roman" w:eastAsia="方正大标宋简体" w:cs="方正大标宋简体"/>
          <w:b w:val="0"/>
          <w:bCs w:val="0"/>
          <w:sz w:val="44"/>
          <w:szCs w:val="44"/>
        </w:rPr>
        <w:t>、报价函</w:t>
      </w:r>
    </w:p>
    <w:p>
      <w:pPr>
        <w:spacing w:line="440" w:lineRule="exact"/>
        <w:ind w:left="-720" w:firstLine="774" w:firstLineChars="242"/>
        <w:rPr>
          <w:rFonts w:hint="eastAsia" w:ascii="Times New Roman" w:hAnsi="Times New Roman" w:eastAsia="仿宋_GB2312" w:cs="仿宋_GB2312"/>
          <w:sz w:val="32"/>
          <w:szCs w:val="32"/>
        </w:rPr>
      </w:pPr>
    </w:p>
    <w:p>
      <w:pPr>
        <w:spacing w:line="360" w:lineRule="auto"/>
        <w:ind w:left="-720" w:firstLine="774" w:firstLineChars="242"/>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致：</w:t>
      </w:r>
      <w:r>
        <w:rPr>
          <w:rFonts w:hint="eastAsia" w:ascii="Times New Roman" w:hAnsi="Times New Roman" w:eastAsia="仿宋_GB2312" w:cs="仿宋_GB2312"/>
          <w:sz w:val="32"/>
          <w:szCs w:val="32"/>
          <w:u w:val="single"/>
          <w:lang w:eastAsia="zh-CN"/>
        </w:rPr>
        <w:t>南通市中央创新区</w:t>
      </w:r>
      <w:r>
        <w:rPr>
          <w:rFonts w:hint="eastAsia" w:ascii="Times New Roman" w:hAnsi="Times New Roman" w:eastAsia="仿宋_GB2312" w:cs="仿宋_GB2312"/>
          <w:sz w:val="32"/>
          <w:szCs w:val="32"/>
          <w:u w:val="single"/>
          <w:lang w:val="en-US" w:eastAsia="zh-CN"/>
        </w:rPr>
        <w:t>科创产业发展</w:t>
      </w:r>
      <w:r>
        <w:rPr>
          <w:rFonts w:hint="eastAsia" w:ascii="Times New Roman" w:hAnsi="Times New Roman" w:eastAsia="仿宋_GB2312" w:cs="仿宋_GB2312"/>
          <w:sz w:val="32"/>
          <w:szCs w:val="32"/>
          <w:u w:val="single"/>
          <w:lang w:eastAsia="zh-CN"/>
        </w:rPr>
        <w:t>有限公司</w:t>
      </w:r>
    </w:p>
    <w:p>
      <w:pPr>
        <w:pStyle w:val="7"/>
        <w:widowControl/>
        <w:spacing w:line="360" w:lineRule="auto"/>
        <w:ind w:firstLine="640" w:firstLineChars="20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1、根据有关规定，及本项目的有关资料后，我方愿以我方愿以人民币（大写）</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元（RMB：￥</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元）的投标总价回收南通市中央创新区</w:t>
      </w:r>
      <w:r>
        <w:rPr>
          <w:rFonts w:hint="eastAsia" w:ascii="Times New Roman" w:hAnsi="Times New Roman" w:eastAsia="仿宋_GB2312" w:cs="仿宋_GB2312"/>
          <w:sz w:val="32"/>
          <w:szCs w:val="32"/>
          <w:lang w:val="en-US" w:eastAsia="zh-CN"/>
        </w:rPr>
        <w:t>科创产业发展</w:t>
      </w:r>
      <w:r>
        <w:rPr>
          <w:rFonts w:hint="eastAsia" w:ascii="Times New Roman" w:hAnsi="Times New Roman" w:eastAsia="仿宋_GB2312" w:cs="仿宋_GB2312"/>
          <w:sz w:val="32"/>
          <w:szCs w:val="32"/>
        </w:rPr>
        <w:t>有限公司该批</w:t>
      </w:r>
      <w:r>
        <w:rPr>
          <w:rFonts w:hint="eastAsia" w:ascii="Times New Roman" w:hAnsi="Times New Roman" w:eastAsia="仿宋_GB2312" w:cs="仿宋_GB2312"/>
          <w:sz w:val="32"/>
          <w:szCs w:val="32"/>
          <w:lang w:val="en-US" w:eastAsia="zh-CN"/>
        </w:rPr>
        <w:t>废弃高压电缆、燃气调压站及配件、管道钢构支撑</w:t>
      </w:r>
      <w:r>
        <w:rPr>
          <w:rFonts w:hint="eastAsia" w:ascii="Times New Roman" w:hAnsi="Times New Roman" w:eastAsia="仿宋_GB2312" w:cs="仿宋_GB2312"/>
          <w:sz w:val="32"/>
          <w:szCs w:val="32"/>
        </w:rPr>
        <w:t>。</w:t>
      </w:r>
    </w:p>
    <w:p>
      <w:pPr>
        <w:spacing w:line="360" w:lineRule="auto"/>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2、除非另外达成协议并生效，你方的中标通知书和本报价文件将构成约束双方的合同文件的组成部分。</w:t>
      </w:r>
    </w:p>
    <w:p>
      <w:pPr>
        <w:spacing w:line="440" w:lineRule="exact"/>
        <w:ind w:left="-210" w:firstLine="420"/>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atLeast"/>
        <w:ind w:left="-210" w:firstLine="420"/>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atLeast"/>
        <w:ind w:firstLine="4480" w:firstLineChars="1400"/>
        <w:textAlignment w:val="auto"/>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投标人：（盖章）</w:t>
      </w:r>
    </w:p>
    <w:p>
      <w:pPr>
        <w:keepNext w:val="0"/>
        <w:keepLines w:val="0"/>
        <w:pageBreakBefore w:val="0"/>
        <w:widowControl w:val="0"/>
        <w:kinsoku/>
        <w:wordWrap/>
        <w:overflowPunct/>
        <w:topLinePunct w:val="0"/>
        <w:autoSpaceDE/>
        <w:autoSpaceDN/>
        <w:bidi w:val="0"/>
        <w:adjustRightInd/>
        <w:snapToGrid/>
        <w:spacing w:line="500" w:lineRule="atLeast"/>
        <w:ind w:firstLine="1920" w:firstLineChars="600"/>
        <w:textAlignment w:val="auto"/>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法定代表人或委托代理人：（签字或盖章）</w:t>
      </w:r>
    </w:p>
    <w:p>
      <w:pPr>
        <w:keepNext w:val="0"/>
        <w:keepLines w:val="0"/>
        <w:pageBreakBefore w:val="0"/>
        <w:widowControl w:val="0"/>
        <w:kinsoku/>
        <w:wordWrap/>
        <w:overflowPunct/>
        <w:topLinePunct w:val="0"/>
        <w:autoSpaceDE/>
        <w:autoSpaceDN/>
        <w:bidi w:val="0"/>
        <w:adjustRightInd/>
        <w:snapToGrid/>
        <w:spacing w:line="500" w:lineRule="atLeast"/>
        <w:ind w:firstLine="4800" w:firstLineChars="1500"/>
        <w:jc w:val="lef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日期：      年    月    日</w:t>
      </w:r>
    </w:p>
    <w:p>
      <w:pPr>
        <w:spacing w:line="440" w:lineRule="exact"/>
        <w:jc w:val="center"/>
        <w:rPr>
          <w:rFonts w:hint="eastAsia" w:ascii="Times New Roman" w:hAnsi="Times New Roman" w:eastAsia="仿宋_GB2312" w:cs="仿宋_GB2312"/>
          <w:b/>
          <w:bCs/>
          <w:sz w:val="32"/>
          <w:szCs w:val="32"/>
        </w:rPr>
      </w:pPr>
    </w:p>
    <w:p>
      <w:pPr>
        <w:spacing w:line="440" w:lineRule="exact"/>
        <w:jc w:val="center"/>
        <w:rPr>
          <w:rFonts w:hint="eastAsia" w:ascii="Times New Roman" w:hAnsi="Times New Roman" w:eastAsia="楷体_GB2312"/>
          <w:b/>
          <w:bCs/>
          <w:sz w:val="30"/>
        </w:rPr>
      </w:pPr>
    </w:p>
    <w:p>
      <w:pPr>
        <w:spacing w:line="440" w:lineRule="exact"/>
        <w:jc w:val="center"/>
        <w:rPr>
          <w:rFonts w:hint="eastAsia" w:ascii="Times New Roman" w:hAnsi="Times New Roman" w:eastAsia="楷体_GB2312"/>
          <w:b/>
          <w:bCs/>
          <w:sz w:val="30"/>
        </w:rPr>
      </w:pPr>
    </w:p>
    <w:p>
      <w:pPr>
        <w:spacing w:line="440" w:lineRule="exact"/>
        <w:jc w:val="center"/>
        <w:rPr>
          <w:rFonts w:hint="eastAsia" w:ascii="Times New Roman" w:hAnsi="Times New Roman" w:eastAsia="楷体_GB2312"/>
          <w:b/>
          <w:bCs/>
          <w:sz w:val="30"/>
        </w:rPr>
      </w:pPr>
    </w:p>
    <w:p>
      <w:pPr>
        <w:spacing w:line="440" w:lineRule="exact"/>
        <w:jc w:val="center"/>
        <w:rPr>
          <w:rFonts w:hint="eastAsia" w:ascii="Times New Roman" w:hAnsi="Times New Roman" w:eastAsia="楷体_GB2312"/>
          <w:b/>
          <w:bCs/>
          <w:sz w:val="30"/>
        </w:rPr>
      </w:pPr>
    </w:p>
    <w:p>
      <w:pPr>
        <w:spacing w:line="440" w:lineRule="exact"/>
        <w:jc w:val="center"/>
        <w:rPr>
          <w:rFonts w:hint="eastAsia" w:ascii="Times New Roman" w:hAnsi="Times New Roman" w:eastAsia="楷体_GB2312"/>
          <w:b/>
          <w:bCs/>
          <w:sz w:val="30"/>
        </w:rPr>
      </w:pPr>
    </w:p>
    <w:p>
      <w:pPr>
        <w:spacing w:line="440" w:lineRule="exact"/>
        <w:jc w:val="center"/>
        <w:rPr>
          <w:rFonts w:hint="eastAsia" w:ascii="Times New Roman" w:hAnsi="Times New Roman" w:eastAsia="楷体_GB2312"/>
          <w:b/>
          <w:bCs/>
          <w:sz w:val="30"/>
        </w:rPr>
      </w:pPr>
    </w:p>
    <w:p>
      <w:pPr>
        <w:rPr>
          <w:rFonts w:hint="eastAsia" w:ascii="Times New Roman" w:hAnsi="Times New Roman" w:eastAsia="方正大标宋简体" w:cs="方正大标宋简体"/>
          <w:b w:val="0"/>
          <w:bCs w:val="0"/>
          <w:sz w:val="44"/>
          <w:szCs w:val="44"/>
          <w:lang w:eastAsia="zh-CN"/>
        </w:rPr>
      </w:pPr>
      <w:r>
        <w:rPr>
          <w:rFonts w:hint="eastAsia" w:ascii="Times New Roman" w:hAnsi="Times New Roman" w:eastAsia="方正大标宋简体" w:cs="方正大标宋简体"/>
          <w:b w:val="0"/>
          <w:bCs w:val="0"/>
          <w:sz w:val="44"/>
          <w:szCs w:val="44"/>
          <w:lang w:eastAsia="zh-CN"/>
        </w:rPr>
        <w:br w:type="page"/>
      </w:r>
    </w:p>
    <w:p>
      <w:pPr>
        <w:keepNext w:val="0"/>
        <w:keepLines w:val="0"/>
        <w:pageBreakBefore w:val="0"/>
        <w:widowControl w:val="0"/>
        <w:kinsoku/>
        <w:wordWrap/>
        <w:overflowPunct/>
        <w:topLinePunct w:val="0"/>
        <w:autoSpaceDE/>
        <w:autoSpaceDN/>
        <w:bidi w:val="0"/>
        <w:adjustRightInd/>
        <w:snapToGrid w:val="0"/>
        <w:spacing w:line="580" w:lineRule="exact"/>
        <w:jc w:val="center"/>
        <w:textAlignment w:val="auto"/>
        <w:outlineLvl w:val="4"/>
        <w:rPr>
          <w:rFonts w:hint="eastAsia" w:ascii="Times New Roman" w:hAnsi="Times New Roman" w:eastAsia="方正大标宋简体" w:cs="方正大标宋简体"/>
          <w:b w:val="0"/>
          <w:bCs w:val="0"/>
          <w:sz w:val="44"/>
          <w:szCs w:val="44"/>
          <w:lang w:eastAsia="zh-CN"/>
        </w:rPr>
      </w:pPr>
      <w:r>
        <w:rPr>
          <w:rFonts w:hint="eastAsia" w:ascii="Times New Roman" w:hAnsi="Times New Roman" w:eastAsia="方正大标宋简体" w:cs="方正大标宋简体"/>
          <w:b w:val="0"/>
          <w:bCs w:val="0"/>
          <w:sz w:val="44"/>
          <w:szCs w:val="44"/>
          <w:lang w:eastAsia="zh-CN"/>
        </w:rPr>
        <w:t>四、投标报价表</w:t>
      </w:r>
    </w:p>
    <w:tbl>
      <w:tblPr>
        <w:tblStyle w:val="9"/>
        <w:tblpPr w:leftFromText="180" w:rightFromText="180" w:vertAnchor="text" w:horzAnchor="page" w:tblpX="1565" w:tblpY="349"/>
        <w:tblOverlap w:val="never"/>
        <w:tblW w:w="91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3186"/>
        <w:gridCol w:w="3034"/>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085" w:type="dxa"/>
            <w:noWrap w:val="0"/>
            <w:vAlign w:val="center"/>
          </w:tcPr>
          <w:p>
            <w:pPr>
              <w:adjustRightInd w:val="0"/>
              <w:snapToGrid w:val="0"/>
              <w:spacing w:line="4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序号</w:t>
            </w:r>
          </w:p>
        </w:tc>
        <w:tc>
          <w:tcPr>
            <w:tcW w:w="3186" w:type="dxa"/>
            <w:noWrap w:val="0"/>
            <w:vAlign w:val="center"/>
          </w:tcPr>
          <w:p>
            <w:pPr>
              <w:adjustRightInd w:val="0"/>
              <w:snapToGrid w:val="0"/>
              <w:spacing w:line="4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项目名称</w:t>
            </w:r>
          </w:p>
        </w:tc>
        <w:tc>
          <w:tcPr>
            <w:tcW w:w="3034" w:type="dxa"/>
            <w:noWrap w:val="0"/>
            <w:vAlign w:val="center"/>
          </w:tcPr>
          <w:p>
            <w:pPr>
              <w:adjustRightInd w:val="0"/>
              <w:snapToGrid w:val="0"/>
              <w:spacing w:line="400" w:lineRule="exact"/>
              <w:ind w:firstLine="320" w:firstLineChars="100"/>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投标报价（元）</w:t>
            </w:r>
          </w:p>
        </w:tc>
        <w:tc>
          <w:tcPr>
            <w:tcW w:w="1860" w:type="dxa"/>
            <w:noWrap w:val="0"/>
            <w:vAlign w:val="center"/>
          </w:tcPr>
          <w:p>
            <w:pPr>
              <w:adjustRightInd w:val="0"/>
              <w:snapToGrid w:val="0"/>
              <w:spacing w:line="4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085" w:type="dxa"/>
            <w:noWrap w:val="0"/>
            <w:vAlign w:val="center"/>
          </w:tcPr>
          <w:p>
            <w:pPr>
              <w:adjustRightInd w:val="0"/>
              <w:snapToGrid w:val="0"/>
              <w:spacing w:line="40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w:t>
            </w:r>
          </w:p>
        </w:tc>
        <w:tc>
          <w:tcPr>
            <w:tcW w:w="3186" w:type="dxa"/>
            <w:noWrap w:val="0"/>
            <w:vAlign w:val="center"/>
          </w:tcPr>
          <w:p>
            <w:pPr>
              <w:adjustRightInd w:val="0"/>
              <w:snapToGrid w:val="0"/>
              <w:spacing w:line="40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高压电缆</w:t>
            </w:r>
          </w:p>
        </w:tc>
        <w:tc>
          <w:tcPr>
            <w:tcW w:w="3034" w:type="dxa"/>
            <w:noWrap w:val="0"/>
            <w:vAlign w:val="center"/>
          </w:tcPr>
          <w:p>
            <w:pPr>
              <w:adjustRightInd w:val="0"/>
              <w:snapToGrid w:val="0"/>
              <w:spacing w:after="156" w:afterLines="50" w:line="520" w:lineRule="exact"/>
              <w:jc w:val="center"/>
              <w:textAlignment w:val="baseline"/>
              <w:outlineLvl w:val="0"/>
              <w:rPr>
                <w:rFonts w:hint="eastAsia" w:ascii="Times New Roman" w:hAnsi="Times New Roman" w:eastAsia="仿宋_GB2312" w:cs="仿宋_GB2312"/>
                <w:b/>
                <w:w w:val="80"/>
                <w:kern w:val="44"/>
                <w:sz w:val="32"/>
                <w:szCs w:val="32"/>
              </w:rPr>
            </w:pPr>
          </w:p>
        </w:tc>
        <w:tc>
          <w:tcPr>
            <w:tcW w:w="1860" w:type="dxa"/>
            <w:noWrap w:val="0"/>
            <w:vAlign w:val="center"/>
          </w:tcPr>
          <w:p>
            <w:pPr>
              <w:adjustRightInd w:val="0"/>
              <w:snapToGrid w:val="0"/>
              <w:spacing w:after="156" w:afterLines="50" w:line="520" w:lineRule="exact"/>
              <w:jc w:val="center"/>
              <w:textAlignment w:val="baseline"/>
              <w:outlineLvl w:val="0"/>
              <w:rPr>
                <w:rFonts w:hint="eastAsia" w:ascii="Times New Roman" w:hAnsi="Times New Roman" w:eastAsia="仿宋_GB2312" w:cs="仿宋_GB2312"/>
                <w:b/>
                <w:w w:val="80"/>
                <w:kern w:val="4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5" w:type="dxa"/>
            <w:noWrap w:val="0"/>
            <w:vAlign w:val="center"/>
          </w:tcPr>
          <w:p>
            <w:pPr>
              <w:adjustRightInd w:val="0"/>
              <w:snapToGrid w:val="0"/>
              <w:spacing w:line="40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w:t>
            </w:r>
          </w:p>
        </w:tc>
        <w:tc>
          <w:tcPr>
            <w:tcW w:w="3186" w:type="dxa"/>
            <w:noWrap w:val="0"/>
            <w:vAlign w:val="center"/>
          </w:tcPr>
          <w:p>
            <w:pPr>
              <w:adjustRightInd w:val="0"/>
              <w:snapToGrid w:val="0"/>
              <w:spacing w:line="40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钢件</w:t>
            </w:r>
          </w:p>
        </w:tc>
        <w:tc>
          <w:tcPr>
            <w:tcW w:w="3034" w:type="dxa"/>
            <w:noWrap w:val="0"/>
            <w:vAlign w:val="center"/>
          </w:tcPr>
          <w:p>
            <w:pPr>
              <w:adjustRightInd w:val="0"/>
              <w:snapToGrid w:val="0"/>
              <w:spacing w:after="156" w:afterLines="50" w:line="520" w:lineRule="exact"/>
              <w:jc w:val="center"/>
              <w:textAlignment w:val="baseline"/>
              <w:outlineLvl w:val="0"/>
              <w:rPr>
                <w:rFonts w:hint="eastAsia" w:ascii="Times New Roman" w:hAnsi="Times New Roman" w:eastAsia="仿宋_GB2312" w:cs="仿宋_GB2312"/>
                <w:b/>
                <w:w w:val="80"/>
                <w:kern w:val="44"/>
                <w:sz w:val="32"/>
                <w:szCs w:val="32"/>
              </w:rPr>
            </w:pPr>
          </w:p>
        </w:tc>
        <w:tc>
          <w:tcPr>
            <w:tcW w:w="1860" w:type="dxa"/>
            <w:noWrap w:val="0"/>
            <w:vAlign w:val="center"/>
          </w:tcPr>
          <w:p>
            <w:pPr>
              <w:adjustRightInd w:val="0"/>
              <w:snapToGrid w:val="0"/>
              <w:spacing w:after="156" w:afterLines="50" w:line="520" w:lineRule="exact"/>
              <w:jc w:val="center"/>
              <w:textAlignment w:val="baseline"/>
              <w:outlineLvl w:val="0"/>
              <w:rPr>
                <w:rFonts w:hint="eastAsia" w:ascii="Times New Roman" w:hAnsi="Times New Roman" w:eastAsia="仿宋_GB2312" w:cs="仿宋_GB2312"/>
                <w:b/>
                <w:w w:val="80"/>
                <w:kern w:val="4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85" w:type="dxa"/>
            <w:noWrap w:val="0"/>
            <w:vAlign w:val="center"/>
          </w:tcPr>
          <w:p>
            <w:pPr>
              <w:adjustRightInd w:val="0"/>
              <w:snapToGrid w:val="0"/>
              <w:spacing w:line="400" w:lineRule="exact"/>
              <w:jc w:val="center"/>
              <w:rPr>
                <w:rFonts w:hint="eastAsia" w:ascii="Times New Roman" w:hAnsi="Times New Roman" w:eastAsia="仿宋_GB2312" w:cs="仿宋_GB2312"/>
                <w:sz w:val="32"/>
                <w:szCs w:val="32"/>
              </w:rPr>
            </w:pPr>
          </w:p>
        </w:tc>
        <w:tc>
          <w:tcPr>
            <w:tcW w:w="3186" w:type="dxa"/>
            <w:noWrap w:val="0"/>
            <w:vAlign w:val="top"/>
          </w:tcPr>
          <w:p>
            <w:pPr>
              <w:adjustRightInd w:val="0"/>
              <w:snapToGrid w:val="0"/>
              <w:spacing w:line="400" w:lineRule="exact"/>
              <w:rPr>
                <w:rFonts w:hint="eastAsia" w:ascii="Times New Roman" w:hAnsi="Times New Roman" w:eastAsia="仿宋_GB2312" w:cs="仿宋_GB2312"/>
                <w:sz w:val="32"/>
                <w:szCs w:val="32"/>
              </w:rPr>
            </w:pPr>
          </w:p>
        </w:tc>
        <w:tc>
          <w:tcPr>
            <w:tcW w:w="3034" w:type="dxa"/>
            <w:noWrap w:val="0"/>
            <w:vAlign w:val="top"/>
          </w:tcPr>
          <w:p>
            <w:pPr>
              <w:adjustRightInd w:val="0"/>
              <w:snapToGrid w:val="0"/>
              <w:spacing w:after="156" w:afterLines="50" w:line="520" w:lineRule="exact"/>
              <w:textAlignment w:val="baseline"/>
              <w:outlineLvl w:val="0"/>
              <w:rPr>
                <w:rFonts w:hint="eastAsia" w:ascii="Times New Roman" w:hAnsi="Times New Roman" w:eastAsia="仿宋_GB2312" w:cs="仿宋_GB2312"/>
                <w:b/>
                <w:w w:val="80"/>
                <w:kern w:val="44"/>
                <w:sz w:val="32"/>
                <w:szCs w:val="32"/>
              </w:rPr>
            </w:pPr>
          </w:p>
        </w:tc>
        <w:tc>
          <w:tcPr>
            <w:tcW w:w="1860" w:type="dxa"/>
            <w:noWrap w:val="0"/>
            <w:vAlign w:val="top"/>
          </w:tcPr>
          <w:p>
            <w:pPr>
              <w:adjustRightInd w:val="0"/>
              <w:snapToGrid w:val="0"/>
              <w:spacing w:after="156" w:afterLines="50" w:line="520" w:lineRule="exact"/>
              <w:textAlignment w:val="baseline"/>
              <w:outlineLvl w:val="0"/>
              <w:rPr>
                <w:rFonts w:hint="eastAsia" w:ascii="Times New Roman" w:hAnsi="Times New Roman" w:eastAsia="仿宋_GB2312" w:cs="仿宋_GB2312"/>
                <w:b/>
                <w:w w:val="80"/>
                <w:kern w:val="4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5" w:type="dxa"/>
            <w:gridSpan w:val="4"/>
            <w:noWrap w:val="0"/>
            <w:vAlign w:val="top"/>
          </w:tcPr>
          <w:p>
            <w:pPr>
              <w:widowControl/>
              <w:rPr>
                <w:rFonts w:hint="eastAsia" w:ascii="Times New Roman" w:hAnsi="Times New Roman" w:eastAsia="仿宋_GB2312" w:cs="仿宋_GB2312"/>
                <w:kern w:val="0"/>
                <w:sz w:val="32"/>
                <w:szCs w:val="32"/>
              </w:rPr>
            </w:pPr>
          </w:p>
          <w:p>
            <w:pPr>
              <w:widowControl/>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投标报价人民币（大写） ：     元</w:t>
            </w:r>
          </w:p>
          <w:p>
            <w:pPr>
              <w:adjustRightInd w:val="0"/>
              <w:snapToGrid w:val="0"/>
              <w:spacing w:after="156" w:afterLines="50" w:line="520" w:lineRule="exact"/>
              <w:textAlignment w:val="baseline"/>
              <w:outlineLvl w:val="0"/>
              <w:rPr>
                <w:rFonts w:hint="eastAsia" w:ascii="Times New Roman" w:hAnsi="Times New Roman" w:eastAsia="仿宋_GB2312" w:cs="仿宋_GB2312"/>
                <w:b/>
                <w:w w:val="80"/>
                <w:kern w:val="44"/>
                <w:sz w:val="32"/>
                <w:szCs w:val="32"/>
              </w:rPr>
            </w:pPr>
            <w:r>
              <w:rPr>
                <w:rFonts w:hint="eastAsia" w:ascii="Times New Roman" w:hAnsi="Times New Roman" w:eastAsia="仿宋_GB2312" w:cs="仿宋_GB2312"/>
                <w:kern w:val="0"/>
                <w:sz w:val="32"/>
                <w:szCs w:val="32"/>
              </w:rPr>
              <w:t xml:space="preserve">              （RMB：￥      元）</w:t>
            </w:r>
          </w:p>
          <w:p>
            <w:pPr>
              <w:pStyle w:val="8"/>
              <w:ind w:left="0" w:leftChars="0" w:firstLine="0" w:firstLineChars="0"/>
              <w:rPr>
                <w:rFonts w:hint="eastAsia"/>
              </w:rPr>
            </w:pPr>
          </w:p>
          <w:p>
            <w:pPr>
              <w:adjustRightInd w:val="0"/>
              <w:snapToGrid w:val="0"/>
              <w:spacing w:after="156" w:afterLines="50" w:line="520" w:lineRule="exact"/>
              <w:textAlignment w:val="baseline"/>
              <w:outlineLvl w:val="0"/>
              <w:rPr>
                <w:rFonts w:hint="eastAsia" w:ascii="Times New Roman" w:hAnsi="Times New Roman" w:eastAsia="仿宋_GB2312" w:cs="仿宋_GB2312"/>
                <w:b/>
                <w:w w:val="80"/>
                <w:kern w:val="44"/>
                <w:sz w:val="32"/>
                <w:szCs w:val="32"/>
              </w:rPr>
            </w:pPr>
          </w:p>
        </w:tc>
      </w:tr>
    </w:tbl>
    <w:p>
      <w:pPr>
        <w:spacing w:line="440" w:lineRule="exact"/>
        <w:ind w:firstLine="640" w:firstLineChars="200"/>
        <w:rPr>
          <w:rFonts w:hint="eastAsia" w:ascii="Times New Roman" w:hAnsi="Times New Roman" w:eastAsia="仿宋_GB2312" w:cs="仿宋_GB2312"/>
          <w:b/>
          <w:bCs/>
          <w:sz w:val="32"/>
          <w:szCs w:val="32"/>
          <w:lang w:eastAsia="zh-CN"/>
        </w:rPr>
      </w:pPr>
      <w:r>
        <w:rPr>
          <w:rFonts w:hint="eastAsia" w:ascii="Times New Roman" w:hAnsi="Times New Roman" w:eastAsia="仿宋_GB2312" w:cs="仿宋_GB2312"/>
          <w:sz w:val="32"/>
          <w:szCs w:val="32"/>
        </w:rPr>
        <w:t>注：本项目的投标报价为自主报价，各投标单位根据附件中的“</w:t>
      </w:r>
      <w:r>
        <w:rPr>
          <w:rFonts w:hint="eastAsia" w:ascii="Times New Roman" w:hAnsi="Times New Roman" w:eastAsia="仿宋_GB2312" w:cs="仿宋_GB2312"/>
          <w:sz w:val="32"/>
          <w:szCs w:val="32"/>
          <w:lang w:val="en-US" w:eastAsia="zh-CN"/>
        </w:rPr>
        <w:t>废弃高压电缆、燃气调压站及配件、管道钢构支撑</w:t>
      </w:r>
      <w:r>
        <w:rPr>
          <w:rFonts w:hint="eastAsia" w:ascii="Times New Roman" w:hAnsi="Times New Roman" w:eastAsia="仿宋_GB2312" w:cs="仿宋_GB2312"/>
          <w:sz w:val="32"/>
          <w:szCs w:val="32"/>
          <w:lang w:eastAsia="zh-CN"/>
        </w:rPr>
        <w:t>回收清单</w:t>
      </w:r>
      <w:r>
        <w:rPr>
          <w:rFonts w:hint="eastAsia" w:ascii="Times New Roman" w:hAnsi="Times New Roman" w:eastAsia="仿宋_GB2312" w:cs="仿宋_GB2312"/>
          <w:sz w:val="32"/>
          <w:szCs w:val="32"/>
        </w:rPr>
        <w:t>”，只需自报回收费总价</w:t>
      </w:r>
      <w:r>
        <w:rPr>
          <w:rFonts w:hint="eastAsia" w:ascii="Times New Roman" w:hAnsi="Times New Roman" w:eastAsia="仿宋_GB2312" w:cs="仿宋_GB2312"/>
          <w:sz w:val="32"/>
          <w:szCs w:val="32"/>
          <w:lang w:eastAsia="zh-CN"/>
        </w:rPr>
        <w:t>。</w:t>
      </w:r>
    </w:p>
    <w:p>
      <w:pPr>
        <w:spacing w:line="440" w:lineRule="exact"/>
        <w:rPr>
          <w:rFonts w:hint="eastAsia" w:ascii="Times New Roman" w:hAnsi="Times New Roman" w:eastAsia="仿宋_GB2312" w:cs="仿宋_GB2312"/>
          <w:b/>
          <w:bCs/>
          <w:sz w:val="32"/>
          <w:szCs w:val="32"/>
        </w:rPr>
      </w:pPr>
    </w:p>
    <w:p>
      <w:pPr>
        <w:kinsoku w:val="0"/>
        <w:topLinePunct/>
        <w:snapToGrid w:val="0"/>
        <w:spacing w:line="420" w:lineRule="exact"/>
        <w:rPr>
          <w:rFonts w:hint="eastAsia" w:ascii="Times New Roman" w:hAnsi="Times New Roman" w:eastAsia="仿宋_GB2312" w:cs="仿宋_GB2312"/>
          <w:sz w:val="32"/>
          <w:szCs w:val="32"/>
        </w:rPr>
      </w:pPr>
    </w:p>
    <w:p>
      <w:pPr>
        <w:kinsoku w:val="0"/>
        <w:topLinePunct/>
        <w:snapToGrid w:val="0"/>
        <w:spacing w:line="520" w:lineRule="exact"/>
        <w:ind w:firstLine="2560" w:firstLineChars="8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投标人：</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（加盖公章）</w:t>
      </w:r>
    </w:p>
    <w:p>
      <w:pPr>
        <w:kinsoku w:val="0"/>
        <w:topLinePunct/>
        <w:snapToGrid w:val="0"/>
        <w:spacing w:line="520" w:lineRule="exact"/>
        <w:rPr>
          <w:rFonts w:hint="eastAsia" w:ascii="Times New Roman" w:hAnsi="Times New Roman" w:eastAsia="仿宋_GB2312" w:cs="仿宋_GB2312"/>
          <w:sz w:val="32"/>
          <w:szCs w:val="32"/>
        </w:rPr>
      </w:pPr>
    </w:p>
    <w:p>
      <w:pPr>
        <w:kinsoku w:val="0"/>
        <w:topLinePunct/>
        <w:snapToGrid w:val="0"/>
        <w:spacing w:line="520" w:lineRule="exact"/>
        <w:ind w:firstLine="1280" w:firstLineChars="4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法定代表人或被委托授权人：</w:t>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rPr>
        <w:t>（签字或盖章）</w:t>
      </w:r>
    </w:p>
    <w:p>
      <w:pPr>
        <w:kinsoku w:val="0"/>
        <w:topLinePunct/>
        <w:snapToGrid w:val="0"/>
        <w:spacing w:line="520" w:lineRule="exact"/>
        <w:rPr>
          <w:rFonts w:hint="eastAsia" w:ascii="Times New Roman" w:hAnsi="Times New Roman" w:eastAsia="仿宋_GB2312" w:cs="仿宋_GB2312"/>
          <w:sz w:val="32"/>
          <w:szCs w:val="32"/>
        </w:rPr>
      </w:pPr>
    </w:p>
    <w:p>
      <w:pPr>
        <w:kinsoku w:val="0"/>
        <w:topLinePunct/>
        <w:snapToGrid w:val="0"/>
        <w:spacing w:line="520" w:lineRule="exact"/>
        <w:ind w:firstLine="6080" w:firstLineChars="1900"/>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年      月     日</w:t>
      </w:r>
    </w:p>
    <w:sectPr>
      <w:footerReference r:id="rId3" w:type="default"/>
      <w:pgSz w:w="11906" w:h="16838"/>
      <w:pgMar w:top="1814"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A2F28F"/>
    <w:multiLevelType w:val="singleLevel"/>
    <w:tmpl w:val="A5A2F28F"/>
    <w:lvl w:ilvl="0" w:tentative="0">
      <w:start w:val="2"/>
      <w:numFmt w:val="chineseCounting"/>
      <w:suff w:val="nothing"/>
      <w:lvlText w:val="%1、"/>
      <w:lvlJc w:val="left"/>
      <w:rPr>
        <w:rFonts w:hint="eastAsia"/>
      </w:rPr>
    </w:lvl>
  </w:abstractNum>
  <w:abstractNum w:abstractNumId="1">
    <w:nsid w:val="B5A86EF6"/>
    <w:multiLevelType w:val="singleLevel"/>
    <w:tmpl w:val="B5A86EF6"/>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4YTc0ZTlkZDkzN2JjYjY0NmM4YzIxMzE3NWU5ZTQifQ=="/>
  </w:docVars>
  <w:rsids>
    <w:rsidRoot w:val="00000000"/>
    <w:rsid w:val="0250274A"/>
    <w:rsid w:val="07683B8C"/>
    <w:rsid w:val="07C1690D"/>
    <w:rsid w:val="0A1F5B99"/>
    <w:rsid w:val="0B7F311A"/>
    <w:rsid w:val="0C2C5207"/>
    <w:rsid w:val="0D7C0AE3"/>
    <w:rsid w:val="0E404CBD"/>
    <w:rsid w:val="0F4412A8"/>
    <w:rsid w:val="10C64675"/>
    <w:rsid w:val="12BE0E61"/>
    <w:rsid w:val="15841875"/>
    <w:rsid w:val="16562FF3"/>
    <w:rsid w:val="17A73DB1"/>
    <w:rsid w:val="1A445F41"/>
    <w:rsid w:val="24466FD8"/>
    <w:rsid w:val="24754420"/>
    <w:rsid w:val="262C78E7"/>
    <w:rsid w:val="278A3680"/>
    <w:rsid w:val="279B3ADF"/>
    <w:rsid w:val="291B3678"/>
    <w:rsid w:val="29A24516"/>
    <w:rsid w:val="2BBE3829"/>
    <w:rsid w:val="2C826E81"/>
    <w:rsid w:val="2E22669B"/>
    <w:rsid w:val="2EC378E8"/>
    <w:rsid w:val="2ECE5E9F"/>
    <w:rsid w:val="2ED4251A"/>
    <w:rsid w:val="303832A0"/>
    <w:rsid w:val="346A4D0D"/>
    <w:rsid w:val="34D537A7"/>
    <w:rsid w:val="36CC15BF"/>
    <w:rsid w:val="38AE5356"/>
    <w:rsid w:val="3ACE2BD1"/>
    <w:rsid w:val="3AEE2BFC"/>
    <w:rsid w:val="3C0B0DDB"/>
    <w:rsid w:val="3ED07ED2"/>
    <w:rsid w:val="3EF8393A"/>
    <w:rsid w:val="42E2530A"/>
    <w:rsid w:val="430615DE"/>
    <w:rsid w:val="454C0C27"/>
    <w:rsid w:val="45B53053"/>
    <w:rsid w:val="46F4410F"/>
    <w:rsid w:val="47A233F0"/>
    <w:rsid w:val="4862766C"/>
    <w:rsid w:val="4A327FD3"/>
    <w:rsid w:val="4BA277F1"/>
    <w:rsid w:val="4C7277D3"/>
    <w:rsid w:val="4DC63BDA"/>
    <w:rsid w:val="4DC97D1D"/>
    <w:rsid w:val="53135543"/>
    <w:rsid w:val="54AC4D44"/>
    <w:rsid w:val="54D2086E"/>
    <w:rsid w:val="55F1565F"/>
    <w:rsid w:val="57063C02"/>
    <w:rsid w:val="582C0D8C"/>
    <w:rsid w:val="5AA72DC7"/>
    <w:rsid w:val="5E5B2EC0"/>
    <w:rsid w:val="5F3A3094"/>
    <w:rsid w:val="626673D8"/>
    <w:rsid w:val="63175341"/>
    <w:rsid w:val="639313BB"/>
    <w:rsid w:val="64936263"/>
    <w:rsid w:val="681C4371"/>
    <w:rsid w:val="68587B27"/>
    <w:rsid w:val="69795F64"/>
    <w:rsid w:val="6A0A3CB1"/>
    <w:rsid w:val="6C153D23"/>
    <w:rsid w:val="6D357A95"/>
    <w:rsid w:val="6DE12A53"/>
    <w:rsid w:val="6F406C0D"/>
    <w:rsid w:val="702C4355"/>
    <w:rsid w:val="72CC4C76"/>
    <w:rsid w:val="76C75405"/>
    <w:rsid w:val="787451E5"/>
    <w:rsid w:val="7B787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djustRightInd w:val="0"/>
      <w:spacing w:after="60" w:line="360" w:lineRule="atLeast"/>
      <w:ind w:left="72" w:leftChars="30" w:right="30" w:rightChars="30"/>
      <w:jc w:val="center"/>
      <w:textAlignment w:val="baseline"/>
    </w:pPr>
    <w:rPr>
      <w:szCs w:val="22"/>
    </w:rPr>
  </w:style>
  <w:style w:type="paragraph" w:styleId="3">
    <w:name w:val="Body Text Indent"/>
    <w:basedOn w:val="1"/>
    <w:next w:val="4"/>
    <w:qFormat/>
    <w:uiPriority w:val="0"/>
    <w:pPr>
      <w:spacing w:after="120"/>
      <w:ind w:left="420"/>
    </w:pPr>
    <w:rPr>
      <w:rFonts w:ascii="Times New Roman" w:hAnsi="Times New Roman" w:eastAsia="仿宋_GB2312"/>
      <w:sz w:val="20"/>
      <w:szCs w:val="20"/>
    </w:rPr>
  </w:style>
  <w:style w:type="paragraph" w:styleId="4">
    <w:name w:val="envelope return"/>
    <w:basedOn w:val="1"/>
    <w:unhideWhenUsed/>
    <w:qFormat/>
    <w:uiPriority w:val="99"/>
    <w:pPr>
      <w:snapToGrid w:val="0"/>
    </w:pPr>
    <w:rPr>
      <w:rFonts w:ascii="Arial" w:hAnsi="Arial"/>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paragraph" w:styleId="8">
    <w:name w:val="Body Text First Indent 2"/>
    <w:basedOn w:val="3"/>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1765</Words>
  <Characters>1846</Characters>
  <Lines>0</Lines>
  <Paragraphs>0</Paragraphs>
  <TotalTime>83</TotalTime>
  <ScaleCrop>false</ScaleCrop>
  <LinksUpToDate>false</LinksUpToDate>
  <CharactersWithSpaces>2041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腊肠</cp:lastModifiedBy>
  <cp:lastPrinted>2022-08-11T01:25:00Z</cp:lastPrinted>
  <dcterms:modified xsi:type="dcterms:W3CDTF">2022-08-24T05:04:47Z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20C88EA84E134372ADBB68163983B33C</vt:lpwstr>
  </property>
</Properties>
</file>