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黑体" w:hAnsi="黑体" w:eastAsia="黑体"/>
          <w:w w:val="90"/>
          <w:kern w:val="0"/>
          <w:sz w:val="44"/>
          <w:szCs w:val="44"/>
        </w:rPr>
      </w:pPr>
    </w:p>
    <w:p>
      <w:pPr>
        <w:spacing w:line="420" w:lineRule="exact"/>
        <w:jc w:val="center"/>
        <w:rPr>
          <w:rFonts w:hint="eastAsia" w:ascii="黑体" w:hAnsi="黑体" w:eastAsia="黑体"/>
          <w:spacing w:val="-20"/>
          <w:w w:val="90"/>
          <w:kern w:val="0"/>
          <w:sz w:val="44"/>
          <w:szCs w:val="44"/>
        </w:rPr>
      </w:pPr>
      <w:r>
        <w:rPr>
          <w:rFonts w:ascii="黑体" w:hAnsi="黑体" w:eastAsia="黑体"/>
          <w:spacing w:val="-20"/>
          <w:w w:val="90"/>
          <w:kern w:val="0"/>
          <w:sz w:val="44"/>
          <w:szCs w:val="44"/>
        </w:rPr>
        <w:t>南通创新区全民健身中心第三方合作培训机构招标项目</w:t>
      </w:r>
    </w:p>
    <w:p>
      <w:pPr>
        <w:spacing w:line="420" w:lineRule="exact"/>
        <w:jc w:val="center"/>
        <w:rPr>
          <w:rFonts w:hint="eastAsia" w:ascii="宋体" w:hAnsi="宋体"/>
          <w:sz w:val="28"/>
        </w:rPr>
      </w:pPr>
    </w:p>
    <w:p>
      <w:pPr>
        <w:spacing w:line="420" w:lineRule="exact"/>
        <w:jc w:val="center"/>
        <w:rPr>
          <w:rFonts w:hint="eastAsia" w:ascii="宋体" w:hAnsi="宋体"/>
          <w:w w:val="200"/>
          <w:sz w:val="46"/>
          <w:szCs w:val="46"/>
        </w:rPr>
      </w:pPr>
    </w:p>
    <w:p>
      <w:pPr>
        <w:spacing w:line="420" w:lineRule="exact"/>
        <w:jc w:val="center"/>
        <w:rPr>
          <w:rFonts w:hint="eastAsia" w:ascii="宋体" w:hAnsi="宋体"/>
          <w:w w:val="200"/>
          <w:sz w:val="46"/>
          <w:szCs w:val="46"/>
        </w:rPr>
      </w:pPr>
    </w:p>
    <w:p>
      <w:pPr>
        <w:spacing w:line="420" w:lineRule="exact"/>
        <w:jc w:val="center"/>
        <w:rPr>
          <w:rFonts w:hint="eastAsia" w:ascii="宋体" w:hAnsi="宋体"/>
          <w:w w:val="200"/>
          <w:sz w:val="46"/>
          <w:szCs w:val="46"/>
        </w:rPr>
      </w:pPr>
    </w:p>
    <w:p>
      <w:pPr>
        <w:spacing w:line="420" w:lineRule="exact"/>
        <w:jc w:val="center"/>
        <w:rPr>
          <w:rFonts w:hint="eastAsia" w:ascii="宋体" w:hAnsi="宋体"/>
          <w:w w:val="200"/>
          <w:sz w:val="46"/>
          <w:szCs w:val="46"/>
        </w:rPr>
      </w:pPr>
    </w:p>
    <w:p>
      <w:pPr>
        <w:spacing w:line="420" w:lineRule="exact"/>
        <w:jc w:val="center"/>
        <w:rPr>
          <w:rFonts w:hint="eastAsia" w:ascii="宋体" w:hAnsi="宋体"/>
          <w:w w:val="200"/>
          <w:sz w:val="46"/>
          <w:szCs w:val="46"/>
        </w:rPr>
      </w:pPr>
      <w:r>
        <w:rPr>
          <w:rFonts w:hint="eastAsia" w:ascii="宋体" w:hAnsi="宋体"/>
          <w:w w:val="200"/>
          <w:sz w:val="46"/>
          <w:szCs w:val="46"/>
        </w:rPr>
        <w:t>邀请招标文件</w:t>
      </w:r>
    </w:p>
    <w:p>
      <w:pPr>
        <w:spacing w:line="420" w:lineRule="exact"/>
        <w:jc w:val="center"/>
        <w:rPr>
          <w:rFonts w:hint="eastAsia" w:ascii="宋体" w:hAnsi="宋体"/>
          <w:w w:val="200"/>
          <w:sz w:val="46"/>
          <w:szCs w:val="46"/>
        </w:rPr>
      </w:pPr>
    </w:p>
    <w:p>
      <w:pPr>
        <w:spacing w:line="420" w:lineRule="exact"/>
        <w:jc w:val="center"/>
        <w:rPr>
          <w:rFonts w:hint="eastAsia" w:ascii="宋体" w:hAnsi="宋体"/>
          <w:sz w:val="28"/>
        </w:rPr>
      </w:pPr>
    </w:p>
    <w:p>
      <w:pPr>
        <w:spacing w:line="420" w:lineRule="exact"/>
        <w:jc w:val="center"/>
        <w:rPr>
          <w:rFonts w:hint="eastAsia" w:hAnsi="宋体"/>
          <w:sz w:val="30"/>
          <w:szCs w:val="30"/>
        </w:rPr>
      </w:pPr>
    </w:p>
    <w:p>
      <w:pPr>
        <w:spacing w:line="420" w:lineRule="exact"/>
        <w:jc w:val="center"/>
        <w:rPr>
          <w:rFonts w:hint="eastAsia" w:hAnsi="宋体"/>
          <w:sz w:val="30"/>
          <w:szCs w:val="30"/>
        </w:rPr>
      </w:pPr>
    </w:p>
    <w:p>
      <w:pPr>
        <w:spacing w:line="420" w:lineRule="exact"/>
        <w:jc w:val="center"/>
        <w:rPr>
          <w:rFonts w:hint="eastAsia" w:ascii="宋体" w:hAnsi="宋体"/>
          <w:sz w:val="28"/>
        </w:rPr>
      </w:pPr>
    </w:p>
    <w:p>
      <w:pPr>
        <w:spacing w:line="420" w:lineRule="exact"/>
        <w:jc w:val="center"/>
        <w:rPr>
          <w:rFonts w:hint="eastAsia" w:ascii="宋体" w:hAnsi="宋体"/>
          <w:sz w:val="28"/>
        </w:rPr>
      </w:pPr>
    </w:p>
    <w:p>
      <w:pPr>
        <w:spacing w:line="420" w:lineRule="exact"/>
        <w:jc w:val="center"/>
        <w:rPr>
          <w:rFonts w:hint="eastAsia" w:ascii="宋体" w:hAnsi="宋体"/>
          <w:sz w:val="28"/>
        </w:rPr>
      </w:pPr>
    </w:p>
    <w:p>
      <w:pPr>
        <w:spacing w:line="420" w:lineRule="exact"/>
        <w:jc w:val="center"/>
        <w:rPr>
          <w:rFonts w:hint="eastAsia" w:ascii="宋体" w:hAnsi="宋体"/>
          <w:sz w:val="28"/>
        </w:rPr>
      </w:pPr>
    </w:p>
    <w:p>
      <w:pPr>
        <w:spacing w:line="420" w:lineRule="exact"/>
        <w:jc w:val="center"/>
        <w:rPr>
          <w:rFonts w:hint="eastAsia" w:ascii="宋体" w:hAnsi="宋体"/>
          <w:sz w:val="28"/>
        </w:rPr>
      </w:pPr>
    </w:p>
    <w:p>
      <w:pPr>
        <w:spacing w:line="420" w:lineRule="exact"/>
        <w:jc w:val="center"/>
        <w:rPr>
          <w:rFonts w:hint="eastAsia" w:ascii="仿宋_GB2312" w:eastAsia="仿宋_GB2312"/>
          <w:b/>
          <w:sz w:val="36"/>
          <w:szCs w:val="36"/>
        </w:rPr>
      </w:pPr>
    </w:p>
    <w:p>
      <w:pPr>
        <w:spacing w:line="420" w:lineRule="exact"/>
        <w:jc w:val="center"/>
        <w:rPr>
          <w:rFonts w:hint="eastAsia" w:ascii="仿宋_GB2312" w:eastAsia="仿宋_GB2312"/>
          <w:b/>
          <w:sz w:val="36"/>
          <w:szCs w:val="36"/>
        </w:rPr>
      </w:pPr>
    </w:p>
    <w:p>
      <w:pPr>
        <w:spacing w:line="420" w:lineRule="exact"/>
        <w:jc w:val="center"/>
        <w:rPr>
          <w:rFonts w:hint="eastAsia" w:ascii="仿宋_GB2312" w:eastAsia="仿宋_GB2312"/>
          <w:b/>
          <w:sz w:val="36"/>
          <w:szCs w:val="36"/>
        </w:rPr>
      </w:pPr>
    </w:p>
    <w:p>
      <w:pPr>
        <w:spacing w:line="420" w:lineRule="exact"/>
        <w:jc w:val="center"/>
        <w:rPr>
          <w:rFonts w:hint="eastAsia" w:ascii="仿宋_GB2312" w:eastAsia="仿宋_GB2312"/>
          <w:b/>
          <w:sz w:val="36"/>
          <w:szCs w:val="36"/>
        </w:rPr>
      </w:pPr>
    </w:p>
    <w:p>
      <w:pPr>
        <w:spacing w:line="420" w:lineRule="exact"/>
        <w:jc w:val="center"/>
        <w:rPr>
          <w:rFonts w:hint="eastAsia" w:ascii="仿宋_GB2312" w:eastAsia="仿宋_GB2312"/>
          <w:b/>
          <w:sz w:val="36"/>
          <w:szCs w:val="36"/>
        </w:rPr>
      </w:pPr>
    </w:p>
    <w:p>
      <w:pPr>
        <w:spacing w:line="420" w:lineRule="exact"/>
        <w:jc w:val="center"/>
        <w:rPr>
          <w:rFonts w:hint="eastAsia" w:ascii="仿宋_GB2312" w:eastAsia="仿宋_GB2312"/>
          <w:b/>
          <w:sz w:val="36"/>
          <w:szCs w:val="36"/>
        </w:rPr>
      </w:pPr>
    </w:p>
    <w:p>
      <w:pPr>
        <w:spacing w:line="420" w:lineRule="exact"/>
        <w:ind w:firstLine="1428" w:firstLineChars="395"/>
        <w:jc w:val="left"/>
        <w:rPr>
          <w:rFonts w:hint="eastAsia" w:ascii="宋体" w:hAnsi="宋体"/>
          <w:b/>
          <w:sz w:val="36"/>
          <w:szCs w:val="36"/>
        </w:rPr>
      </w:pPr>
    </w:p>
    <w:p>
      <w:pPr>
        <w:spacing w:line="560" w:lineRule="exact"/>
        <w:ind w:firstLine="1962" w:firstLineChars="545"/>
        <w:jc w:val="left"/>
        <w:rPr>
          <w:rFonts w:hint="eastAsia" w:ascii="宋体" w:hAnsi="宋体"/>
          <w:sz w:val="36"/>
          <w:szCs w:val="36"/>
        </w:rPr>
      </w:pPr>
      <w:r>
        <w:rPr>
          <w:rFonts w:hint="eastAsia" w:ascii="宋体" w:hAnsi="宋体"/>
          <w:sz w:val="36"/>
          <w:szCs w:val="36"/>
        </w:rPr>
        <w:t>招标人：南通乐动体育发展有限公司</w:t>
      </w:r>
    </w:p>
    <w:p>
      <w:pPr>
        <w:spacing w:line="560" w:lineRule="exact"/>
        <w:jc w:val="center"/>
        <w:rPr>
          <w:rFonts w:hint="eastAsia" w:ascii="宋体" w:hAnsi="宋体"/>
          <w:sz w:val="36"/>
          <w:szCs w:val="36"/>
        </w:rPr>
      </w:pPr>
      <w:r>
        <w:rPr>
          <w:rFonts w:hint="eastAsia" w:ascii="宋体" w:hAnsi="宋体"/>
          <w:sz w:val="36"/>
          <w:szCs w:val="36"/>
        </w:rPr>
        <w:t>招标代理：江苏中房工程咨询有限公司</w:t>
      </w:r>
    </w:p>
    <w:p>
      <w:pPr>
        <w:spacing w:line="560" w:lineRule="exact"/>
        <w:jc w:val="center"/>
        <w:rPr>
          <w:rFonts w:hint="eastAsia" w:ascii="仿宋_GB2312" w:eastAsia="仿宋_GB2312"/>
          <w:sz w:val="36"/>
          <w:szCs w:val="36"/>
        </w:rPr>
      </w:pPr>
      <w:r>
        <w:rPr>
          <w:rFonts w:hint="eastAsia" w:ascii="仿宋_GB2312" w:eastAsia="仿宋_GB2312"/>
          <w:sz w:val="36"/>
          <w:szCs w:val="36"/>
        </w:rPr>
        <w:t>二</w:t>
      </w:r>
      <w:r>
        <w:rPr>
          <w:rFonts w:hint="eastAsia" w:ascii="宋体" w:hAnsi="宋体" w:cs="宋体"/>
          <w:sz w:val="36"/>
          <w:szCs w:val="36"/>
        </w:rPr>
        <w:t>〇</w:t>
      </w:r>
      <w:r>
        <w:rPr>
          <w:rFonts w:hint="eastAsia" w:ascii="仿宋_GB2312" w:hAnsi="仿宋_GB2312" w:eastAsia="仿宋_GB2312" w:cs="仿宋_GB2312"/>
          <w:sz w:val="36"/>
          <w:szCs w:val="36"/>
        </w:rPr>
        <w:t>二二</w:t>
      </w:r>
      <w:r>
        <w:rPr>
          <w:rFonts w:hint="eastAsia" w:ascii="仿宋_GB2312" w:eastAsia="仿宋_GB2312"/>
          <w:sz w:val="36"/>
          <w:szCs w:val="36"/>
        </w:rPr>
        <w:t>年</w:t>
      </w:r>
      <w:r>
        <w:rPr>
          <w:rFonts w:hint="eastAsia" w:ascii="仿宋_GB2312" w:eastAsia="仿宋_GB2312"/>
          <w:sz w:val="36"/>
          <w:szCs w:val="36"/>
          <w:lang w:val="zh-CN"/>
        </w:rPr>
        <w:t>一</w:t>
      </w:r>
      <w:r>
        <w:rPr>
          <w:rFonts w:hint="eastAsia" w:ascii="仿宋_GB2312" w:eastAsia="仿宋_GB2312"/>
          <w:sz w:val="36"/>
          <w:szCs w:val="36"/>
        </w:rPr>
        <w:t>月六日</w:t>
      </w:r>
    </w:p>
    <w:p>
      <w:pPr>
        <w:adjustRightInd w:val="0"/>
        <w:snapToGrid w:val="0"/>
        <w:spacing w:line="420" w:lineRule="exact"/>
        <w:ind w:left="-158" w:leftChars="-75" w:right="-601" w:rightChars="-286"/>
        <w:rPr>
          <w:rFonts w:hint="eastAsia" w:hAnsi="宋体"/>
          <w:snapToGrid w:val="0"/>
          <w:sz w:val="26"/>
          <w:szCs w:val="28"/>
        </w:rPr>
      </w:pPr>
    </w:p>
    <w:p>
      <w:pPr>
        <w:adjustRightInd w:val="0"/>
        <w:snapToGrid w:val="0"/>
        <w:spacing w:line="420" w:lineRule="exact"/>
        <w:ind w:left="-158" w:leftChars="-75" w:right="-601" w:rightChars="-286"/>
        <w:rPr>
          <w:rFonts w:hint="eastAsia" w:hAnsi="宋体"/>
          <w:snapToGrid w:val="0"/>
          <w:sz w:val="26"/>
          <w:szCs w:val="28"/>
        </w:rPr>
      </w:pPr>
    </w:p>
    <w:p>
      <w:pPr>
        <w:spacing w:line="420" w:lineRule="exact"/>
        <w:jc w:val="center"/>
        <w:rPr>
          <w:rFonts w:hint="eastAsia" w:ascii="宋体" w:hAnsi="宋体"/>
          <w:snapToGrid w:val="0"/>
          <w:sz w:val="26"/>
          <w:szCs w:val="26"/>
        </w:rPr>
      </w:pPr>
    </w:p>
    <w:p>
      <w:pPr>
        <w:spacing w:line="420" w:lineRule="exact"/>
        <w:jc w:val="center"/>
        <w:rPr>
          <w:rFonts w:hint="eastAsia" w:ascii="宋体" w:hAnsi="宋体"/>
          <w:b/>
          <w:w w:val="150"/>
          <w:sz w:val="44"/>
          <w:szCs w:val="44"/>
        </w:rPr>
      </w:pPr>
      <w:r>
        <w:rPr>
          <w:rFonts w:hint="eastAsia" w:ascii="宋体" w:hAnsi="宋体"/>
          <w:b/>
          <w:w w:val="150"/>
          <w:sz w:val="44"/>
          <w:szCs w:val="44"/>
        </w:rPr>
        <w:t>目 录</w:t>
      </w:r>
    </w:p>
    <w:p>
      <w:pPr>
        <w:tabs>
          <w:tab w:val="left" w:pos="7740"/>
        </w:tabs>
        <w:spacing w:line="420" w:lineRule="exact"/>
        <w:rPr>
          <w:rFonts w:hint="eastAsia" w:ascii="宋体" w:hAnsi="宋体"/>
          <w:snapToGrid w:val="0"/>
          <w:sz w:val="26"/>
          <w:szCs w:val="26"/>
        </w:rPr>
      </w:pPr>
    </w:p>
    <w:p>
      <w:pPr>
        <w:tabs>
          <w:tab w:val="left" w:pos="7740"/>
        </w:tabs>
        <w:spacing w:line="420" w:lineRule="exact"/>
        <w:ind w:firstLine="640" w:firstLineChars="200"/>
        <w:rPr>
          <w:rFonts w:hint="eastAsia" w:ascii="宋体" w:hAnsi="宋体"/>
          <w:spacing w:val="2"/>
          <w:sz w:val="32"/>
          <w:szCs w:val="32"/>
        </w:rPr>
      </w:pPr>
      <w:r>
        <w:rPr>
          <w:rFonts w:hint="eastAsia" w:ascii="宋体" w:hAnsi="宋体"/>
          <w:bCs/>
          <w:sz w:val="32"/>
          <w:szCs w:val="32"/>
        </w:rPr>
        <w:t>第一部分  邀标公告</w:t>
      </w:r>
    </w:p>
    <w:p>
      <w:pPr>
        <w:tabs>
          <w:tab w:val="left" w:pos="7740"/>
        </w:tabs>
        <w:spacing w:line="420" w:lineRule="exact"/>
        <w:rPr>
          <w:rFonts w:hint="eastAsia" w:ascii="宋体" w:hAnsi="宋体"/>
          <w:sz w:val="32"/>
          <w:szCs w:val="32"/>
        </w:rPr>
      </w:pPr>
    </w:p>
    <w:p>
      <w:pPr>
        <w:tabs>
          <w:tab w:val="left" w:pos="7740"/>
        </w:tabs>
        <w:spacing w:line="420" w:lineRule="exact"/>
        <w:ind w:firstLine="640" w:firstLineChars="200"/>
        <w:rPr>
          <w:rFonts w:hint="eastAsia" w:ascii="宋体" w:hAnsi="宋体"/>
          <w:spacing w:val="2"/>
          <w:sz w:val="32"/>
          <w:szCs w:val="32"/>
        </w:rPr>
      </w:pPr>
      <w:r>
        <w:rPr>
          <w:rFonts w:hint="eastAsia" w:ascii="宋体" w:hAnsi="宋体"/>
          <w:bCs/>
          <w:sz w:val="32"/>
          <w:szCs w:val="32"/>
        </w:rPr>
        <w:t>第二部分  投标须知</w:t>
      </w:r>
    </w:p>
    <w:p>
      <w:pPr>
        <w:spacing w:line="420" w:lineRule="exact"/>
        <w:rPr>
          <w:rFonts w:hint="eastAsia" w:ascii="宋体" w:hAnsi="宋体"/>
          <w:sz w:val="32"/>
          <w:szCs w:val="32"/>
        </w:rPr>
      </w:pPr>
    </w:p>
    <w:p>
      <w:pPr>
        <w:tabs>
          <w:tab w:val="left" w:pos="7740"/>
        </w:tabs>
        <w:spacing w:line="420" w:lineRule="exact"/>
        <w:ind w:firstLine="640" w:firstLineChars="200"/>
        <w:rPr>
          <w:rFonts w:hint="eastAsia" w:ascii="宋体" w:hAnsi="宋体"/>
          <w:spacing w:val="2"/>
          <w:sz w:val="32"/>
          <w:szCs w:val="32"/>
        </w:rPr>
      </w:pPr>
      <w:r>
        <w:rPr>
          <w:rFonts w:hint="eastAsia" w:ascii="宋体" w:hAnsi="宋体"/>
          <w:bCs/>
          <w:sz w:val="32"/>
          <w:szCs w:val="32"/>
        </w:rPr>
        <w:t>第三部分  项目需求说明</w:t>
      </w:r>
    </w:p>
    <w:p>
      <w:pPr>
        <w:pStyle w:val="3"/>
        <w:tabs>
          <w:tab w:val="left" w:pos="7740"/>
          <w:tab w:val="left" w:pos="7920"/>
        </w:tabs>
        <w:spacing w:line="420" w:lineRule="exact"/>
        <w:rPr>
          <w:rFonts w:hint="eastAsia" w:ascii="宋体" w:hAnsi="宋体"/>
          <w:sz w:val="32"/>
          <w:szCs w:val="32"/>
        </w:rPr>
      </w:pPr>
    </w:p>
    <w:p>
      <w:pPr>
        <w:tabs>
          <w:tab w:val="left" w:pos="7740"/>
        </w:tabs>
        <w:spacing w:line="420" w:lineRule="exact"/>
        <w:ind w:firstLine="640" w:firstLineChars="200"/>
        <w:rPr>
          <w:rFonts w:hint="eastAsia" w:ascii="宋体" w:hAnsi="宋体"/>
          <w:spacing w:val="2"/>
          <w:sz w:val="32"/>
          <w:szCs w:val="32"/>
        </w:rPr>
      </w:pPr>
      <w:r>
        <w:rPr>
          <w:rFonts w:hint="eastAsia" w:ascii="宋体" w:hAnsi="宋体"/>
          <w:sz w:val="32"/>
          <w:szCs w:val="32"/>
        </w:rPr>
        <w:t xml:space="preserve">第四部分  </w:t>
      </w:r>
      <w:r>
        <w:rPr>
          <w:rFonts w:hint="eastAsia" w:ascii="宋体" w:hAnsi="宋体"/>
          <w:bCs/>
          <w:sz w:val="32"/>
          <w:szCs w:val="32"/>
        </w:rPr>
        <w:t>开标和评标</w:t>
      </w:r>
    </w:p>
    <w:p>
      <w:pPr>
        <w:spacing w:line="420" w:lineRule="exact"/>
        <w:rPr>
          <w:rFonts w:hint="eastAsia" w:ascii="宋体" w:hAnsi="宋体"/>
          <w:sz w:val="32"/>
          <w:szCs w:val="32"/>
        </w:rPr>
      </w:pPr>
    </w:p>
    <w:p>
      <w:pPr>
        <w:tabs>
          <w:tab w:val="left" w:pos="7740"/>
        </w:tabs>
        <w:spacing w:line="420" w:lineRule="exact"/>
        <w:ind w:firstLine="640" w:firstLineChars="200"/>
        <w:rPr>
          <w:rFonts w:hint="eastAsia" w:ascii="宋体" w:hAnsi="宋体"/>
          <w:bCs/>
          <w:sz w:val="32"/>
          <w:szCs w:val="32"/>
        </w:rPr>
      </w:pPr>
      <w:r>
        <w:rPr>
          <w:rFonts w:hint="eastAsia" w:ascii="宋体" w:hAnsi="宋体"/>
          <w:bCs/>
          <w:sz w:val="32"/>
          <w:szCs w:val="32"/>
        </w:rPr>
        <w:t>第五部分  合同及主要条款</w:t>
      </w:r>
    </w:p>
    <w:p>
      <w:pPr>
        <w:spacing w:line="420" w:lineRule="exact"/>
        <w:rPr>
          <w:rFonts w:hint="eastAsia" w:ascii="宋体" w:hAnsi="宋体"/>
          <w:sz w:val="32"/>
          <w:szCs w:val="32"/>
        </w:rPr>
      </w:pPr>
    </w:p>
    <w:p>
      <w:pPr>
        <w:tabs>
          <w:tab w:val="left" w:pos="7740"/>
        </w:tabs>
        <w:spacing w:line="420" w:lineRule="exact"/>
        <w:ind w:firstLine="640" w:firstLineChars="200"/>
        <w:rPr>
          <w:rFonts w:hint="eastAsia" w:ascii="宋体" w:hAnsi="宋体"/>
          <w:bCs/>
          <w:sz w:val="32"/>
          <w:szCs w:val="32"/>
        </w:rPr>
      </w:pPr>
      <w:r>
        <w:rPr>
          <w:rFonts w:hint="eastAsia" w:ascii="宋体" w:hAnsi="宋体"/>
          <w:bCs/>
          <w:sz w:val="32"/>
          <w:szCs w:val="32"/>
        </w:rPr>
        <w:t>第六部分  投标文件组成</w:t>
      </w:r>
    </w:p>
    <w:p>
      <w:pPr>
        <w:tabs>
          <w:tab w:val="left" w:pos="7740"/>
        </w:tabs>
        <w:spacing w:line="420" w:lineRule="exact"/>
        <w:ind w:firstLine="640" w:firstLineChars="200"/>
        <w:rPr>
          <w:rFonts w:hint="eastAsia" w:ascii="宋体" w:hAnsi="宋体"/>
          <w:bCs/>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 xml:space="preserve"> </w:t>
      </w:r>
    </w:p>
    <w:p>
      <w:pPr>
        <w:adjustRightInd w:val="0"/>
        <w:snapToGrid w:val="0"/>
        <w:spacing w:line="420" w:lineRule="exact"/>
        <w:ind w:left="-158" w:leftChars="-75" w:right="-601" w:rightChars="-286"/>
        <w:rPr>
          <w:rFonts w:hint="eastAsia" w:ascii="仿宋_GB2312" w:eastAsia="仿宋_GB2312"/>
          <w:b/>
          <w:sz w:val="48"/>
          <w:szCs w:val="48"/>
        </w:rPr>
      </w:pPr>
    </w:p>
    <w:p>
      <w:pPr>
        <w:spacing w:line="420" w:lineRule="exact"/>
        <w:jc w:val="center"/>
        <w:rPr>
          <w:rFonts w:hint="eastAsia" w:ascii="宋体" w:hAnsi="宋体"/>
          <w:b/>
          <w:sz w:val="36"/>
          <w:szCs w:val="36"/>
        </w:rPr>
        <w:sectPr>
          <w:footerReference r:id="rId3" w:type="default"/>
          <w:footerReference r:id="rId4" w:type="even"/>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hint="eastAsia" w:ascii="宋体" w:hAnsi="宋体"/>
          <w:b/>
          <w:sz w:val="36"/>
          <w:szCs w:val="36"/>
        </w:rPr>
      </w:pPr>
      <w:r>
        <w:rPr>
          <w:rFonts w:hint="eastAsia" w:ascii="宋体" w:hAnsi="宋体"/>
          <w:b/>
          <w:sz w:val="36"/>
          <w:szCs w:val="36"/>
        </w:rPr>
        <w:t>第一部分 邀标公告</w:t>
      </w:r>
    </w:p>
    <w:p>
      <w:pPr>
        <w:spacing w:line="420" w:lineRule="exact"/>
        <w:ind w:firstLine="560"/>
        <w:jc w:val="center"/>
        <w:rPr>
          <w:rFonts w:ascii="黑体" w:hAnsi="黑体" w:eastAsia="黑体"/>
          <w:sz w:val="28"/>
          <w:szCs w:val="28"/>
        </w:rPr>
      </w:pPr>
    </w:p>
    <w:p>
      <w:pPr>
        <w:snapToGrid w:val="0"/>
        <w:spacing w:line="420" w:lineRule="exact"/>
        <w:ind w:firstLine="480" w:firstLineChars="200"/>
        <w:rPr>
          <w:rFonts w:hint="eastAsia" w:ascii="宋体" w:hAnsi="宋体" w:cs="宋体"/>
          <w:sz w:val="24"/>
          <w:lang w:val="zh-CN"/>
        </w:rPr>
      </w:pPr>
      <w:r>
        <w:rPr>
          <w:rFonts w:hint="eastAsia" w:ascii="宋体" w:hAnsi="宋体" w:cs="宋体"/>
          <w:sz w:val="24"/>
          <w:lang w:val="zh-CN"/>
        </w:rPr>
        <w:t>江苏中房工程咨询有限公司（以下称代理机构）受南通乐动体育发展有限公司（以下简称“招标人”）委托，就南通创新区全民健身中心（以下简称中心）第三方合作培训机构招标项目进行邀请招标采购。项目基本情况如下：</w:t>
      </w:r>
    </w:p>
    <w:p>
      <w:pPr>
        <w:spacing w:line="420" w:lineRule="exact"/>
        <w:ind w:firstLine="480" w:firstLineChars="200"/>
        <w:rPr>
          <w:rFonts w:hint="eastAsia" w:ascii="宋体" w:hAnsi="宋体" w:cs="宋体"/>
          <w:w w:val="90"/>
          <w:sz w:val="24"/>
        </w:rPr>
      </w:pPr>
      <w:r>
        <w:rPr>
          <w:rFonts w:hint="eastAsia" w:ascii="宋体" w:hAnsi="宋体" w:cs="宋体"/>
          <w:sz w:val="24"/>
        </w:rPr>
        <w:t>一、项目名称：南通创新区全民健身中心第三方合作培训机构招标项目</w:t>
      </w:r>
    </w:p>
    <w:p>
      <w:pPr>
        <w:spacing w:line="420" w:lineRule="exact"/>
        <w:ind w:firstLine="480" w:firstLineChars="200"/>
        <w:rPr>
          <w:rFonts w:hint="eastAsia" w:ascii="宋体" w:hAnsi="宋体" w:cs="宋体"/>
          <w:color w:val="FF0000"/>
          <w:sz w:val="24"/>
        </w:rPr>
      </w:pPr>
      <w:r>
        <w:rPr>
          <w:rFonts w:hint="eastAsia" w:ascii="宋体" w:hAnsi="宋体" w:cs="宋体"/>
          <w:sz w:val="24"/>
        </w:rPr>
        <w:t>二、采购预算：本次招标共分4个标段，最终按实际销售量进行结算。</w:t>
      </w:r>
    </w:p>
    <w:p>
      <w:pPr>
        <w:spacing w:line="420" w:lineRule="exact"/>
        <w:ind w:firstLine="480" w:firstLineChars="200"/>
        <w:rPr>
          <w:rFonts w:ascii="宋体" w:hAnsi="宋体"/>
          <w:sz w:val="24"/>
        </w:rPr>
      </w:pPr>
      <w:bookmarkStart w:id="0" w:name="_Toc20597"/>
      <w:bookmarkStart w:id="1" w:name="_Toc387526273"/>
      <w:bookmarkStart w:id="2" w:name="_Toc387526169"/>
      <w:bookmarkStart w:id="3" w:name="_Toc387526365"/>
      <w:r>
        <w:rPr>
          <w:rFonts w:hint="eastAsia" w:ascii="宋体" w:hAnsi="宋体" w:cs="宋体"/>
          <w:sz w:val="24"/>
        </w:rPr>
        <w:t>三、合作期限：</w:t>
      </w:r>
      <w:r>
        <w:rPr>
          <w:rFonts w:hint="eastAsia" w:ascii="宋体" w:hAnsi="宋体"/>
          <w:sz w:val="24"/>
        </w:rPr>
        <w:t>暂定</w:t>
      </w:r>
      <w:r>
        <w:rPr>
          <w:rFonts w:hint="eastAsia" w:ascii="宋体" w:hAnsi="宋体"/>
          <w:sz w:val="24"/>
          <w:lang w:val="en-US" w:eastAsia="zh-CN"/>
        </w:rPr>
        <w:t>2</w:t>
      </w:r>
      <w:r>
        <w:rPr>
          <w:rFonts w:hint="eastAsia" w:ascii="宋体" w:hAnsi="宋体"/>
          <w:sz w:val="24"/>
        </w:rPr>
        <w:t>年。合同一年一签，合同期满后，</w:t>
      </w:r>
      <w:r>
        <w:rPr>
          <w:rFonts w:hint="eastAsia" w:ascii="宋体" w:hAnsi="宋体"/>
          <w:kern w:val="0"/>
          <w:sz w:val="24"/>
        </w:rPr>
        <w:t>招标人</w:t>
      </w:r>
      <w:r>
        <w:rPr>
          <w:rFonts w:hint="eastAsia" w:ascii="宋体" w:hAnsi="宋体"/>
          <w:sz w:val="24"/>
        </w:rPr>
        <w:t>根据合作机构考核情况（年度考核≥90分），如中标人仍有合作意向，由中标人申请，并经相关部门审核后，可续签合同，每</w:t>
      </w:r>
      <w:r>
        <w:rPr>
          <w:rFonts w:hint="eastAsia" w:ascii="宋体" w:hAnsi="宋体"/>
          <w:sz w:val="24"/>
          <w:lang w:val="en-US" w:eastAsia="zh-CN"/>
        </w:rPr>
        <w:t>次</w:t>
      </w:r>
      <w:r>
        <w:rPr>
          <w:rFonts w:hint="eastAsia" w:ascii="宋体" w:hAnsi="宋体"/>
          <w:sz w:val="24"/>
        </w:rPr>
        <w:t>续签1年，最多可续签</w:t>
      </w:r>
      <w:r>
        <w:rPr>
          <w:rFonts w:hint="eastAsia" w:ascii="宋体" w:hAnsi="宋体"/>
          <w:sz w:val="24"/>
          <w:lang w:val="en-US" w:eastAsia="zh-CN"/>
        </w:rPr>
        <w:t>1</w:t>
      </w:r>
      <w:r>
        <w:rPr>
          <w:rFonts w:hint="eastAsia" w:ascii="宋体" w:hAnsi="宋体"/>
          <w:sz w:val="24"/>
        </w:rPr>
        <w:t>次。</w:t>
      </w:r>
    </w:p>
    <w:bookmarkEnd w:id="0"/>
    <w:bookmarkEnd w:id="1"/>
    <w:bookmarkEnd w:id="2"/>
    <w:bookmarkEnd w:id="3"/>
    <w:p>
      <w:pPr>
        <w:spacing w:line="420" w:lineRule="exact"/>
        <w:ind w:firstLine="480" w:firstLineChars="200"/>
        <w:rPr>
          <w:rFonts w:hint="eastAsia" w:ascii="宋体" w:hAnsi="宋体" w:cs="宋体"/>
          <w:sz w:val="24"/>
        </w:rPr>
      </w:pPr>
      <w:r>
        <w:rPr>
          <w:rFonts w:hint="eastAsia" w:ascii="宋体" w:hAnsi="宋体" w:cs="宋体"/>
          <w:sz w:val="24"/>
        </w:rPr>
        <w:t>四、项目需求：</w:t>
      </w:r>
      <w:r>
        <w:rPr>
          <w:rFonts w:ascii="宋体" w:hAnsi="宋体"/>
          <w:sz w:val="24"/>
        </w:rPr>
        <w:t>具体详见第三章项目需求</w:t>
      </w:r>
      <w:r>
        <w:rPr>
          <w:rFonts w:hint="eastAsia" w:ascii="宋体" w:hAnsi="宋体"/>
          <w:sz w:val="24"/>
        </w:rPr>
        <w:t>说明</w:t>
      </w:r>
      <w:r>
        <w:rPr>
          <w:rFonts w:ascii="宋体" w:hAnsi="宋体"/>
          <w:sz w:val="24"/>
        </w:rPr>
        <w:t>。</w:t>
      </w:r>
    </w:p>
    <w:p>
      <w:pPr>
        <w:spacing w:line="420" w:lineRule="exact"/>
        <w:ind w:firstLine="480" w:firstLineChars="200"/>
        <w:rPr>
          <w:rFonts w:hint="eastAsia" w:ascii="宋体" w:hAnsi="宋体" w:cs="宋体"/>
          <w:sz w:val="24"/>
        </w:rPr>
      </w:pPr>
      <w:r>
        <w:rPr>
          <w:rFonts w:hint="eastAsia" w:ascii="宋体" w:hAnsi="宋体" w:cs="宋体"/>
          <w:sz w:val="24"/>
        </w:rPr>
        <w:t>五、投标人应具备的资格条件：</w:t>
      </w:r>
    </w:p>
    <w:p>
      <w:pPr>
        <w:spacing w:line="420" w:lineRule="exact"/>
        <w:ind w:firstLine="480" w:firstLineChars="200"/>
        <w:rPr>
          <w:rFonts w:hint="eastAsia" w:ascii="宋体" w:hAnsi="宋体" w:cs="宋体"/>
          <w:sz w:val="24"/>
        </w:rPr>
      </w:pPr>
      <w:r>
        <w:rPr>
          <w:rFonts w:hint="eastAsia" w:ascii="宋体" w:hAnsi="宋体" w:cs="宋体"/>
          <w:sz w:val="24"/>
        </w:rPr>
        <w:t>1、具有独立承担民事责任的能力；</w:t>
      </w:r>
    </w:p>
    <w:p>
      <w:pPr>
        <w:spacing w:line="420" w:lineRule="exact"/>
        <w:ind w:firstLine="480" w:firstLineChars="200"/>
        <w:rPr>
          <w:rFonts w:hint="eastAsia" w:ascii="宋体" w:hAnsi="宋体" w:cs="宋体"/>
          <w:sz w:val="24"/>
        </w:rPr>
      </w:pPr>
      <w:r>
        <w:rPr>
          <w:rFonts w:hint="eastAsia" w:ascii="宋体" w:hAnsi="宋体" w:cs="宋体"/>
          <w:sz w:val="24"/>
        </w:rPr>
        <w:t>2、</w:t>
      </w:r>
      <w:r>
        <w:rPr>
          <w:rFonts w:ascii="宋体" w:hAnsi="宋体"/>
          <w:sz w:val="24"/>
        </w:rPr>
        <w:t>投标人必须是在中国境内注册并具备独立法人资格，营业执照中经营范围包含本次招标项目内容范围；</w:t>
      </w:r>
    </w:p>
    <w:p>
      <w:pPr>
        <w:spacing w:line="420" w:lineRule="exact"/>
        <w:ind w:firstLine="480" w:firstLineChars="200"/>
        <w:rPr>
          <w:rFonts w:ascii="宋体" w:hAnsi="宋体" w:cs="宋体"/>
          <w:sz w:val="24"/>
        </w:rPr>
      </w:pPr>
      <w:r>
        <w:rPr>
          <w:rFonts w:hint="eastAsia" w:ascii="宋体" w:hAnsi="宋体" w:cs="宋体"/>
          <w:sz w:val="24"/>
        </w:rPr>
        <w:t>3、具有良好的商业信誉和健全的财务会计制度；</w:t>
      </w:r>
    </w:p>
    <w:p>
      <w:pPr>
        <w:spacing w:line="420" w:lineRule="exact"/>
        <w:ind w:firstLine="480" w:firstLineChars="200"/>
        <w:rPr>
          <w:rFonts w:hint="eastAsia" w:ascii="宋体" w:hAnsi="宋体" w:cs="宋体"/>
          <w:sz w:val="24"/>
        </w:rPr>
      </w:pPr>
      <w:r>
        <w:rPr>
          <w:rFonts w:hint="eastAsia" w:ascii="宋体" w:hAnsi="宋体" w:cs="宋体"/>
          <w:sz w:val="24"/>
        </w:rPr>
        <w:t>4、具有履行合同所必需的设备和专业技术能力；</w:t>
      </w:r>
    </w:p>
    <w:p>
      <w:pPr>
        <w:spacing w:line="420" w:lineRule="exact"/>
        <w:ind w:firstLine="480" w:firstLineChars="200"/>
        <w:rPr>
          <w:rFonts w:ascii="宋体" w:hAnsi="宋体" w:cs="宋体"/>
          <w:sz w:val="24"/>
        </w:rPr>
      </w:pPr>
      <w:r>
        <w:rPr>
          <w:rFonts w:hint="eastAsia" w:ascii="宋体" w:hAnsi="宋体" w:cs="宋体"/>
          <w:color w:val="000000"/>
          <w:sz w:val="24"/>
          <w:szCs w:val="22"/>
        </w:rPr>
        <w:t>5、</w:t>
      </w:r>
      <w:r>
        <w:rPr>
          <w:rFonts w:hint="eastAsia" w:ascii="宋体" w:hAnsi="宋体" w:cs="宋体"/>
          <w:sz w:val="24"/>
        </w:rPr>
        <w:t>有依法缴纳税收和社会保障资金的良好记录</w:t>
      </w:r>
      <w:r>
        <w:rPr>
          <w:rFonts w:hint="eastAsia" w:ascii="宋体" w:hAnsi="宋体" w:cs="宋体"/>
          <w:color w:val="000000"/>
          <w:sz w:val="24"/>
        </w:rPr>
        <w:t>；</w:t>
      </w:r>
    </w:p>
    <w:p>
      <w:pPr>
        <w:spacing w:line="420" w:lineRule="exact"/>
        <w:ind w:firstLine="480" w:firstLineChars="200"/>
        <w:rPr>
          <w:rFonts w:hint="eastAsia" w:ascii="宋体" w:hAnsi="宋体" w:cs="宋体"/>
          <w:sz w:val="24"/>
        </w:rPr>
      </w:pPr>
      <w:r>
        <w:rPr>
          <w:rFonts w:hint="eastAsia" w:ascii="宋体" w:hAnsi="宋体" w:cs="宋体"/>
          <w:sz w:val="24"/>
        </w:rPr>
        <w:t>6、参加采购活动前三年内，在经营活动中没有重大违法记录；</w:t>
      </w:r>
    </w:p>
    <w:p>
      <w:pPr>
        <w:widowControl/>
        <w:adjustRightInd w:val="0"/>
        <w:snapToGrid w:val="0"/>
        <w:spacing w:line="420" w:lineRule="exact"/>
        <w:ind w:firstLine="480" w:firstLineChars="200"/>
        <w:jc w:val="left"/>
        <w:rPr>
          <w:rFonts w:ascii="宋体" w:hAnsi="宋体"/>
          <w:kern w:val="0"/>
          <w:sz w:val="24"/>
        </w:rPr>
      </w:pPr>
      <w:r>
        <w:rPr>
          <w:rFonts w:ascii="宋体" w:hAnsi="宋体"/>
          <w:kern w:val="0"/>
          <w:sz w:val="24"/>
        </w:rPr>
        <w:t>7.法定代表人为同一个人的两个及两个以上法人，母公司、全资子公司及其控股公司，都不得在同一采购项目相同包中同时投标，一经发现，将视同围标处理；</w:t>
      </w:r>
    </w:p>
    <w:p>
      <w:pPr>
        <w:widowControl/>
        <w:adjustRightInd w:val="0"/>
        <w:snapToGrid w:val="0"/>
        <w:spacing w:line="420" w:lineRule="exact"/>
        <w:ind w:firstLine="480" w:firstLineChars="200"/>
        <w:jc w:val="left"/>
        <w:rPr>
          <w:rFonts w:ascii="宋体" w:hAnsi="宋体"/>
          <w:kern w:val="0"/>
          <w:sz w:val="24"/>
        </w:rPr>
      </w:pPr>
      <w:r>
        <w:rPr>
          <w:rFonts w:ascii="宋体" w:hAnsi="宋体"/>
          <w:kern w:val="0"/>
          <w:sz w:val="24"/>
        </w:rPr>
        <w:t>8.本项目不接受任何形式的联合体投标，中标后不得分包或转包。</w:t>
      </w:r>
    </w:p>
    <w:p>
      <w:pPr>
        <w:spacing w:line="420" w:lineRule="exact"/>
        <w:ind w:firstLine="480" w:firstLineChars="200"/>
        <w:rPr>
          <w:rFonts w:ascii="宋体" w:hAnsi="宋体" w:cs="宋体"/>
          <w:sz w:val="24"/>
        </w:rPr>
      </w:pPr>
    </w:p>
    <w:p>
      <w:pPr>
        <w:spacing w:line="420" w:lineRule="exact"/>
        <w:ind w:firstLine="480" w:firstLineChars="200"/>
        <w:outlineLvl w:val="1"/>
        <w:rPr>
          <w:rFonts w:hint="eastAsia" w:ascii="宋体" w:hAnsi="宋体" w:cs="宋体"/>
          <w:kern w:val="0"/>
          <w:sz w:val="24"/>
        </w:rPr>
      </w:pPr>
      <w:r>
        <w:rPr>
          <w:rFonts w:hint="eastAsia" w:ascii="宋体" w:hAnsi="宋体" w:cs="宋体"/>
          <w:sz w:val="24"/>
        </w:rPr>
        <w:t>六、</w:t>
      </w:r>
      <w:bookmarkStart w:id="4" w:name="_Toc387526370"/>
      <w:bookmarkStart w:id="5" w:name="_Toc387526174"/>
      <w:bookmarkStart w:id="6" w:name="_Toc387526278"/>
      <w:bookmarkStart w:id="7" w:name="_Toc401557586"/>
      <w:bookmarkStart w:id="8" w:name="_Toc30068"/>
      <w:r>
        <w:rPr>
          <w:rFonts w:hint="eastAsia" w:ascii="宋体" w:hAnsi="宋体" w:cs="宋体"/>
          <w:kern w:val="0"/>
          <w:sz w:val="24"/>
        </w:rPr>
        <w:t>招标文件的获取</w:t>
      </w:r>
    </w:p>
    <w:p>
      <w:pPr>
        <w:widowControl/>
        <w:spacing w:line="420" w:lineRule="exact"/>
        <w:ind w:firstLine="480" w:firstLineChars="200"/>
        <w:jc w:val="left"/>
        <w:textAlignment w:val="baseline"/>
        <w:rPr>
          <w:rFonts w:hint="eastAsia" w:ascii="宋体" w:hAnsi="宋体" w:cs="宋体"/>
          <w:kern w:val="0"/>
          <w:sz w:val="24"/>
        </w:rPr>
      </w:pPr>
      <w:r>
        <w:rPr>
          <w:rFonts w:hint="eastAsia" w:ascii="宋体" w:hAnsi="宋体" w:cs="宋体"/>
          <w:kern w:val="0"/>
          <w:sz w:val="24"/>
        </w:rPr>
        <w:t>1、获取时间：</w:t>
      </w:r>
      <w:r>
        <w:rPr>
          <w:rFonts w:hint="eastAsia" w:ascii="宋体" w:hAnsi="宋体" w:cs="宋体"/>
          <w:kern w:val="0"/>
          <w:sz w:val="24"/>
          <w:u w:val="single"/>
        </w:rPr>
        <w:t>自本招标公告发布之日起</w:t>
      </w:r>
      <w:r>
        <w:rPr>
          <w:rFonts w:hint="eastAsia" w:ascii="宋体" w:hAnsi="宋体" w:cs="宋体"/>
          <w:kern w:val="0"/>
          <w:sz w:val="24"/>
        </w:rPr>
        <w:t>。</w:t>
      </w:r>
    </w:p>
    <w:p>
      <w:pPr>
        <w:widowControl/>
        <w:spacing w:line="420" w:lineRule="exact"/>
        <w:ind w:firstLine="480" w:firstLineChars="200"/>
        <w:jc w:val="left"/>
        <w:rPr>
          <w:rFonts w:hint="eastAsia" w:ascii="宋体" w:hAnsi="宋体" w:cs="宋体"/>
          <w:kern w:val="0"/>
          <w:sz w:val="24"/>
          <w:u w:val="single"/>
        </w:rPr>
      </w:pPr>
      <w:bookmarkStart w:id="9" w:name="_Toc387526277"/>
      <w:bookmarkStart w:id="10" w:name="_Toc387526369"/>
      <w:bookmarkStart w:id="11" w:name="_Toc387526173"/>
      <w:r>
        <w:rPr>
          <w:rFonts w:hint="eastAsia" w:ascii="宋体" w:hAnsi="宋体" w:cs="宋体"/>
          <w:kern w:val="0"/>
          <w:sz w:val="24"/>
        </w:rPr>
        <w:t>2、获取方式：</w:t>
      </w:r>
      <w:r>
        <w:rPr>
          <w:rFonts w:hint="eastAsia" w:ascii="宋体" w:hAnsi="宋体" w:cs="宋体"/>
          <w:kern w:val="0"/>
          <w:sz w:val="24"/>
          <w:u w:val="single"/>
        </w:rPr>
        <w:t>本项目资格审查采用资格后审方式，无报名环节，投标人直接从南通市中央创新区建设投资有限公司官网(</w:t>
      </w:r>
      <w:r>
        <w:rPr>
          <w:rFonts w:ascii="宋体" w:hAnsi="宋体" w:cs="宋体"/>
          <w:kern w:val="0"/>
          <w:sz w:val="24"/>
          <w:u w:val="single"/>
        </w:rPr>
        <w:fldChar w:fldCharType="begin"/>
      </w:r>
      <w:r>
        <w:rPr>
          <w:rFonts w:ascii="宋体" w:hAnsi="宋体" w:cs="宋体"/>
          <w:kern w:val="0"/>
          <w:sz w:val="24"/>
          <w:u w:val="single"/>
        </w:rPr>
        <w:instrText xml:space="preserve"> HYPERLINK "http://www.ntscid.cn/" </w:instrText>
      </w:r>
      <w:r>
        <w:rPr>
          <w:rFonts w:ascii="宋体" w:hAnsi="宋体" w:cs="宋体"/>
          <w:kern w:val="0"/>
          <w:sz w:val="24"/>
          <w:u w:val="single"/>
        </w:rPr>
        <w:fldChar w:fldCharType="separate"/>
      </w:r>
      <w:r>
        <w:rPr>
          <w:rFonts w:ascii="宋体" w:hAnsi="宋体" w:cs="宋体"/>
          <w:kern w:val="0"/>
          <w:sz w:val="24"/>
          <w:u w:val="single"/>
        </w:rPr>
        <w:t>http://www.ntscid.cn/</w:t>
      </w:r>
      <w:r>
        <w:rPr>
          <w:rFonts w:ascii="宋体" w:hAnsi="宋体" w:cs="宋体"/>
          <w:kern w:val="0"/>
          <w:sz w:val="24"/>
          <w:u w:val="single"/>
        </w:rPr>
        <w:fldChar w:fldCharType="end"/>
      </w:r>
      <w:r>
        <w:rPr>
          <w:rFonts w:hint="eastAsia" w:ascii="宋体" w:hAnsi="宋体" w:cs="宋体"/>
          <w:kern w:val="0"/>
          <w:sz w:val="24"/>
          <w:u w:val="single"/>
        </w:rPr>
        <w:t>)“公告栏”</w:t>
      </w:r>
      <w:r>
        <w:rPr>
          <w:rFonts w:hint="eastAsia" w:ascii="宋体" w:hAnsi="宋体" w:cs="宋体"/>
          <w:kern w:val="0"/>
          <w:sz w:val="24"/>
        </w:rPr>
        <w:t>自行下载招标文件、澄清答疑等招标资料。</w:t>
      </w:r>
      <w:bookmarkEnd w:id="9"/>
      <w:bookmarkEnd w:id="10"/>
      <w:bookmarkEnd w:id="11"/>
    </w:p>
    <w:p>
      <w:pPr>
        <w:spacing w:line="420" w:lineRule="exact"/>
        <w:ind w:firstLine="480" w:firstLineChars="200"/>
        <w:rPr>
          <w:sz w:val="24"/>
        </w:rPr>
      </w:pPr>
      <w:r>
        <w:rPr>
          <w:rFonts w:hint="eastAsia" w:hAnsi="宋体"/>
          <w:sz w:val="24"/>
        </w:rPr>
        <w:t>七、</w:t>
      </w:r>
      <w:r>
        <w:rPr>
          <w:rFonts w:hAnsi="宋体"/>
          <w:sz w:val="24"/>
        </w:rPr>
        <w:t>投标文件的递交</w:t>
      </w:r>
      <w:bookmarkEnd w:id="4"/>
      <w:bookmarkEnd w:id="5"/>
      <w:bookmarkEnd w:id="6"/>
      <w:bookmarkEnd w:id="7"/>
      <w:bookmarkEnd w:id="8"/>
    </w:p>
    <w:p>
      <w:pPr>
        <w:widowControl/>
        <w:spacing w:line="420" w:lineRule="exact"/>
        <w:ind w:firstLine="480" w:firstLineChars="200"/>
        <w:jc w:val="left"/>
        <w:rPr>
          <w:kern w:val="0"/>
          <w:sz w:val="24"/>
          <w:u w:val="single"/>
        </w:rPr>
      </w:pPr>
      <w:r>
        <w:rPr>
          <w:kern w:val="0"/>
          <w:sz w:val="24"/>
        </w:rPr>
        <w:t>1</w:t>
      </w:r>
      <w:r>
        <w:rPr>
          <w:rFonts w:hAnsi="宋体"/>
          <w:kern w:val="0"/>
          <w:sz w:val="24"/>
        </w:rPr>
        <w:t>、递交投标文件截止时间及开标时间为</w:t>
      </w:r>
      <w:r>
        <w:rPr>
          <w:b/>
          <w:kern w:val="0"/>
          <w:sz w:val="24"/>
          <w:u w:val="single"/>
        </w:rPr>
        <w:t xml:space="preserve"> 20</w:t>
      </w:r>
      <w:r>
        <w:rPr>
          <w:rFonts w:hint="eastAsia"/>
          <w:b/>
          <w:kern w:val="0"/>
          <w:sz w:val="24"/>
          <w:u w:val="single"/>
        </w:rPr>
        <w:t>22</w:t>
      </w:r>
      <w:r>
        <w:rPr>
          <w:rFonts w:hAnsi="宋体"/>
          <w:b/>
          <w:kern w:val="0"/>
          <w:sz w:val="24"/>
          <w:u w:val="single"/>
        </w:rPr>
        <w:t>年</w:t>
      </w:r>
      <w:r>
        <w:rPr>
          <w:rFonts w:hint="eastAsia"/>
          <w:b/>
          <w:kern w:val="0"/>
          <w:sz w:val="24"/>
          <w:u w:val="single"/>
        </w:rPr>
        <w:t>1</w:t>
      </w:r>
      <w:r>
        <w:rPr>
          <w:rFonts w:hAnsi="宋体"/>
          <w:b/>
          <w:kern w:val="0"/>
          <w:sz w:val="24"/>
          <w:u w:val="single"/>
        </w:rPr>
        <w:t>月</w:t>
      </w:r>
      <w:r>
        <w:rPr>
          <w:rFonts w:hint="eastAsia"/>
          <w:b/>
          <w:kern w:val="0"/>
          <w:sz w:val="24"/>
          <w:u w:val="single"/>
        </w:rPr>
        <w:t xml:space="preserve"> </w:t>
      </w:r>
      <w:r>
        <w:rPr>
          <w:rFonts w:hint="eastAsia"/>
          <w:b/>
          <w:kern w:val="0"/>
          <w:sz w:val="24"/>
          <w:u w:val="single"/>
          <w:lang w:val="en-US" w:eastAsia="zh-CN"/>
        </w:rPr>
        <w:t>21</w:t>
      </w:r>
      <w:r>
        <w:rPr>
          <w:rFonts w:hAnsi="宋体"/>
          <w:b/>
          <w:kern w:val="0"/>
          <w:sz w:val="24"/>
          <w:u w:val="single"/>
        </w:rPr>
        <w:t>日</w:t>
      </w:r>
      <w:r>
        <w:rPr>
          <w:rFonts w:hint="eastAsia"/>
          <w:b/>
          <w:kern w:val="0"/>
          <w:sz w:val="24"/>
          <w:u w:val="single"/>
        </w:rPr>
        <w:t xml:space="preserve"> </w:t>
      </w:r>
      <w:r>
        <w:rPr>
          <w:rFonts w:hint="eastAsia"/>
          <w:b/>
          <w:kern w:val="0"/>
          <w:sz w:val="24"/>
          <w:u w:val="single"/>
          <w:lang w:val="en-US" w:eastAsia="zh-CN"/>
        </w:rPr>
        <w:t>14</w:t>
      </w:r>
      <w:r>
        <w:rPr>
          <w:rFonts w:hint="eastAsia"/>
          <w:b/>
          <w:kern w:val="0"/>
          <w:sz w:val="24"/>
          <w:u w:val="single"/>
        </w:rPr>
        <w:t xml:space="preserve">  </w:t>
      </w:r>
      <w:r>
        <w:rPr>
          <w:rFonts w:hAnsi="宋体"/>
          <w:b/>
          <w:kern w:val="0"/>
          <w:sz w:val="24"/>
          <w:u w:val="single"/>
        </w:rPr>
        <w:t>时</w:t>
      </w:r>
      <w:r>
        <w:rPr>
          <w:rFonts w:hint="eastAsia"/>
          <w:b/>
          <w:kern w:val="0"/>
          <w:sz w:val="24"/>
          <w:u w:val="single"/>
        </w:rPr>
        <w:t xml:space="preserve"> </w:t>
      </w:r>
      <w:r>
        <w:rPr>
          <w:rFonts w:hint="eastAsia"/>
          <w:b/>
          <w:kern w:val="0"/>
          <w:sz w:val="24"/>
          <w:u w:val="single"/>
          <w:lang w:val="en-US" w:eastAsia="zh-CN"/>
        </w:rPr>
        <w:t>00</w:t>
      </w:r>
      <w:r>
        <w:rPr>
          <w:rFonts w:hint="eastAsia"/>
          <w:b/>
          <w:kern w:val="0"/>
          <w:sz w:val="24"/>
          <w:u w:val="single"/>
        </w:rPr>
        <w:t xml:space="preserve"> </w:t>
      </w:r>
      <w:r>
        <w:rPr>
          <w:rFonts w:hAnsi="宋体"/>
          <w:b/>
          <w:kern w:val="0"/>
          <w:sz w:val="24"/>
          <w:u w:val="single"/>
        </w:rPr>
        <w:t>分</w:t>
      </w:r>
      <w:r>
        <w:rPr>
          <w:rFonts w:hAnsi="宋体"/>
          <w:kern w:val="0"/>
          <w:sz w:val="24"/>
        </w:rPr>
        <w:t>，地点为</w:t>
      </w:r>
      <w:r>
        <w:rPr>
          <w:kern w:val="0"/>
          <w:sz w:val="24"/>
          <w:u w:val="single"/>
        </w:rPr>
        <w:t>南通</w:t>
      </w:r>
      <w:r>
        <w:rPr>
          <w:rFonts w:hint="eastAsia"/>
          <w:kern w:val="0"/>
          <w:sz w:val="24"/>
          <w:u w:val="single"/>
          <w:lang w:val="en-US" w:eastAsia="zh-CN"/>
        </w:rPr>
        <w:t>市观音山街道观山路创新区全民健身中心会议室</w:t>
      </w:r>
      <w:r>
        <w:rPr>
          <w:rFonts w:hint="eastAsia"/>
          <w:kern w:val="0"/>
          <w:sz w:val="24"/>
          <w:u w:val="single"/>
        </w:rPr>
        <w:t>。</w:t>
      </w:r>
    </w:p>
    <w:p>
      <w:pPr>
        <w:widowControl/>
        <w:spacing w:line="420" w:lineRule="exact"/>
        <w:ind w:firstLine="480" w:firstLineChars="200"/>
        <w:jc w:val="left"/>
        <w:rPr>
          <w:rFonts w:hint="eastAsia" w:ascii="宋体" w:hAnsi="宋体" w:cs="宋体"/>
          <w:kern w:val="0"/>
          <w:sz w:val="24"/>
        </w:rPr>
      </w:pPr>
      <w:r>
        <w:rPr>
          <w:rFonts w:hint="eastAsia" w:ascii="宋体" w:hAnsi="宋体" w:cs="宋体"/>
          <w:kern w:val="0"/>
          <w:sz w:val="24"/>
        </w:rPr>
        <w:t>2、逾期送达或者未送达指定地点的投标文件，招标人不予受理。</w:t>
      </w:r>
    </w:p>
    <w:p>
      <w:pPr>
        <w:spacing w:line="420" w:lineRule="exact"/>
        <w:ind w:firstLine="480" w:firstLineChars="200"/>
        <w:rPr>
          <w:rFonts w:hint="eastAsia" w:ascii="宋体" w:hAnsi="宋体" w:cs="宋体"/>
          <w:sz w:val="24"/>
        </w:rPr>
      </w:pPr>
      <w:r>
        <w:rPr>
          <w:rFonts w:hint="eastAsia" w:ascii="宋体" w:hAnsi="宋体" w:cs="宋体"/>
          <w:sz w:val="24"/>
        </w:rPr>
        <w:t>八、投标保证金（免收）</w:t>
      </w:r>
    </w:p>
    <w:p>
      <w:pPr>
        <w:spacing w:line="420" w:lineRule="exact"/>
        <w:ind w:firstLine="480" w:firstLineChars="200"/>
        <w:rPr>
          <w:rFonts w:hint="eastAsia" w:ascii="宋体" w:hAnsi="宋体" w:cs="宋体"/>
          <w:sz w:val="24"/>
        </w:rPr>
      </w:pPr>
      <w:bookmarkStart w:id="12" w:name="_Toc387526175"/>
      <w:bookmarkStart w:id="13" w:name="_Toc387526371"/>
      <w:bookmarkStart w:id="14" w:name="_Toc397928545"/>
      <w:bookmarkStart w:id="15" w:name="_Toc387526279"/>
      <w:bookmarkStart w:id="16" w:name="_Toc13051"/>
      <w:r>
        <w:rPr>
          <w:rFonts w:hint="eastAsia" w:ascii="宋体" w:hAnsi="宋体" w:cs="宋体"/>
          <w:sz w:val="24"/>
        </w:rPr>
        <w:t>九、</w:t>
      </w:r>
      <w:bookmarkEnd w:id="12"/>
      <w:bookmarkEnd w:id="13"/>
      <w:bookmarkEnd w:id="14"/>
      <w:bookmarkEnd w:id="15"/>
      <w:bookmarkEnd w:id="16"/>
      <w:bookmarkStart w:id="17" w:name="_Toc387526176"/>
      <w:bookmarkStart w:id="18" w:name="_Toc11155"/>
      <w:bookmarkStart w:id="19" w:name="_Toc397928546"/>
      <w:bookmarkStart w:id="20" w:name="_Toc387526280"/>
      <w:bookmarkStart w:id="21" w:name="_Toc387526372"/>
      <w:r>
        <w:rPr>
          <w:rFonts w:hint="eastAsia" w:ascii="宋体" w:hAnsi="宋体" w:cs="宋体"/>
          <w:sz w:val="24"/>
        </w:rPr>
        <w:t>评标办法</w:t>
      </w:r>
    </w:p>
    <w:p>
      <w:pPr>
        <w:widowControl/>
        <w:snapToGrid w:val="0"/>
        <w:spacing w:line="420" w:lineRule="exact"/>
        <w:ind w:firstLine="480" w:firstLineChars="200"/>
        <w:jc w:val="left"/>
        <w:rPr>
          <w:rFonts w:hint="eastAsia" w:ascii="宋体" w:hAnsi="宋体" w:cs="宋体"/>
          <w:kern w:val="0"/>
          <w:sz w:val="24"/>
        </w:rPr>
      </w:pPr>
      <w:r>
        <w:rPr>
          <w:rFonts w:hint="eastAsia" w:ascii="宋体" w:hAnsi="宋体" w:cs="宋体"/>
          <w:kern w:val="0"/>
          <w:sz w:val="24"/>
        </w:rPr>
        <w:t>本项目采用综合评分法，具体详见招标文件。</w:t>
      </w:r>
    </w:p>
    <w:p>
      <w:pPr>
        <w:spacing w:line="420" w:lineRule="exact"/>
        <w:ind w:firstLine="480" w:firstLineChars="200"/>
        <w:rPr>
          <w:rFonts w:hint="eastAsia" w:ascii="宋体" w:hAnsi="宋体" w:cs="宋体"/>
          <w:kern w:val="0"/>
          <w:sz w:val="24"/>
        </w:rPr>
      </w:pPr>
      <w:r>
        <w:rPr>
          <w:rFonts w:hint="eastAsia" w:ascii="宋体" w:hAnsi="宋体" w:cs="宋体"/>
          <w:sz w:val="24"/>
        </w:rPr>
        <w:t>十、</w:t>
      </w:r>
      <w:r>
        <w:rPr>
          <w:rFonts w:hint="eastAsia" w:ascii="宋体" w:hAnsi="宋体" w:cs="宋体"/>
          <w:kern w:val="0"/>
          <w:sz w:val="24"/>
        </w:rPr>
        <w:t>联系方式</w:t>
      </w:r>
      <w:bookmarkEnd w:id="17"/>
      <w:bookmarkEnd w:id="18"/>
      <w:bookmarkEnd w:id="19"/>
      <w:bookmarkEnd w:id="20"/>
      <w:bookmarkEnd w:id="21"/>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招标人：南通乐动体育发展有限公司</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联系人：</w:t>
      </w:r>
      <w:r>
        <w:rPr>
          <w:rFonts w:hint="eastAsia" w:ascii="宋体" w:hAnsi="宋体" w:cs="宋体"/>
          <w:kern w:val="0"/>
          <w:sz w:val="24"/>
          <w:lang w:val="en-US" w:eastAsia="zh-CN"/>
        </w:rPr>
        <w:t>徐女士</w:t>
      </w:r>
    </w:p>
    <w:p>
      <w:pPr>
        <w:widowControl/>
        <w:spacing w:line="420" w:lineRule="exact"/>
        <w:ind w:firstLine="480" w:firstLineChars="200"/>
        <w:rPr>
          <w:rFonts w:hint="eastAsia" w:ascii="宋体" w:hAnsi="宋体" w:cs="宋体"/>
          <w:kern w:val="0"/>
          <w:sz w:val="24"/>
          <w:lang w:val="en-US" w:eastAsia="zh-CN"/>
        </w:rPr>
      </w:pPr>
      <w:r>
        <w:rPr>
          <w:rFonts w:hint="eastAsia" w:ascii="宋体" w:hAnsi="宋体" w:cs="宋体"/>
          <w:kern w:val="0"/>
          <w:sz w:val="24"/>
        </w:rPr>
        <w:t>联系电话：0513-</w:t>
      </w:r>
      <w:r>
        <w:rPr>
          <w:rFonts w:hint="eastAsia" w:ascii="宋体" w:hAnsi="宋体" w:cs="宋体"/>
          <w:kern w:val="0"/>
          <w:sz w:val="24"/>
          <w:lang w:val="en-US" w:eastAsia="zh-CN"/>
        </w:rPr>
        <w:t>85155862</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招标代理机构：江苏中房工程咨询有限公司</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 xml:space="preserve">地        址：南通市崇川区江海大道817号江海财富大厦A座7楼 </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联   系   人：吴江</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电        话：0513-68002662</w:t>
      </w:r>
    </w:p>
    <w:p>
      <w:pPr>
        <w:widowControl/>
        <w:spacing w:line="420" w:lineRule="exact"/>
        <w:ind w:firstLine="480" w:firstLineChars="200"/>
        <w:rPr>
          <w:rFonts w:hint="eastAsia" w:ascii="宋体" w:hAnsi="宋体" w:cs="宋体"/>
          <w:kern w:val="0"/>
          <w:sz w:val="24"/>
        </w:rPr>
      </w:pPr>
      <w:r>
        <w:rPr>
          <w:rFonts w:hint="eastAsia" w:ascii="宋体" w:hAnsi="宋体" w:cs="宋体"/>
          <w:kern w:val="0"/>
          <w:sz w:val="24"/>
        </w:rPr>
        <w:t>电 子  邮 箱：</w:t>
      </w:r>
      <w:r>
        <w:rPr>
          <w:rFonts w:hint="eastAsia" w:ascii="宋体" w:hAnsi="宋体" w:cs="宋体"/>
          <w:sz w:val="24"/>
        </w:rPr>
        <w:fldChar w:fldCharType="begin"/>
      </w:r>
      <w:r>
        <w:rPr>
          <w:rFonts w:hint="eastAsia" w:ascii="宋体" w:hAnsi="宋体" w:cs="宋体"/>
          <w:sz w:val="24"/>
        </w:rPr>
        <w:instrText xml:space="preserve">HYPERLINK "mailto:874786206@qq.com"</w:instrText>
      </w:r>
      <w:r>
        <w:rPr>
          <w:rFonts w:hint="eastAsia" w:ascii="宋体" w:hAnsi="宋体" w:cs="宋体"/>
          <w:sz w:val="24"/>
        </w:rPr>
        <w:fldChar w:fldCharType="separate"/>
      </w:r>
      <w:r>
        <w:rPr>
          <w:rStyle w:val="9"/>
          <w:rFonts w:hint="eastAsia" w:ascii="宋体" w:hAnsi="宋体" w:cs="宋体"/>
          <w:color w:val="auto"/>
          <w:kern w:val="0"/>
          <w:sz w:val="24"/>
          <w:u w:val="none"/>
        </w:rPr>
        <w:t>458101863@qq.com</w:t>
      </w:r>
      <w:r>
        <w:rPr>
          <w:rFonts w:hint="eastAsia" w:ascii="宋体" w:hAnsi="宋体" w:cs="宋体"/>
          <w:sz w:val="24"/>
        </w:rPr>
        <w:fldChar w:fldCharType="end"/>
      </w:r>
    </w:p>
    <w:p>
      <w:pPr>
        <w:snapToGrid w:val="0"/>
        <w:spacing w:line="420" w:lineRule="exact"/>
        <w:jc w:val="center"/>
        <w:rPr>
          <w:rFonts w:hint="eastAsia" w:ascii="仿宋_GB2312" w:hAnsi="宋体" w:eastAsia="仿宋_GB2312"/>
          <w:bCs/>
          <w:sz w:val="28"/>
          <w:szCs w:val="28"/>
        </w:rPr>
      </w:pPr>
      <w:r>
        <w:rPr>
          <w:rFonts w:ascii="宋体" w:hAnsi="宋体"/>
          <w:sz w:val="24"/>
        </w:rPr>
        <w:br w:type="page"/>
      </w:r>
      <w:r>
        <w:rPr>
          <w:rFonts w:hint="eastAsia" w:ascii="仿宋_GB2312" w:eastAsia="仿宋_GB2312"/>
          <w:b/>
          <w:sz w:val="36"/>
          <w:szCs w:val="36"/>
        </w:rPr>
        <w:t>第二部分  投标须知</w:t>
      </w:r>
    </w:p>
    <w:p>
      <w:pPr>
        <w:snapToGrid w:val="0"/>
        <w:spacing w:line="420" w:lineRule="exact"/>
        <w:ind w:firstLine="482" w:firstLineChars="200"/>
        <w:jc w:val="left"/>
        <w:outlineLvl w:val="0"/>
        <w:rPr>
          <w:rFonts w:hAnsi="宋体"/>
          <w:b/>
          <w:sz w:val="24"/>
        </w:rPr>
      </w:pPr>
    </w:p>
    <w:p>
      <w:pPr>
        <w:snapToGrid w:val="0"/>
        <w:spacing w:line="420" w:lineRule="exact"/>
        <w:ind w:firstLine="482" w:firstLineChars="200"/>
        <w:jc w:val="left"/>
        <w:outlineLvl w:val="0"/>
        <w:rPr>
          <w:sz w:val="24"/>
        </w:rPr>
      </w:pPr>
      <w:r>
        <w:rPr>
          <w:rFonts w:hAnsi="宋体"/>
          <w:b/>
          <w:sz w:val="24"/>
        </w:rPr>
        <w:t>一、招标文件由招标人解释</w:t>
      </w:r>
      <w:r>
        <w:rPr>
          <w:rFonts w:hAnsi="宋体"/>
          <w:sz w:val="24"/>
        </w:rPr>
        <w:t>。</w:t>
      </w:r>
    </w:p>
    <w:p>
      <w:pPr>
        <w:snapToGrid w:val="0"/>
        <w:spacing w:line="420" w:lineRule="exact"/>
        <w:ind w:firstLine="480" w:firstLineChars="200"/>
        <w:jc w:val="left"/>
        <w:rPr>
          <w:b/>
          <w:sz w:val="24"/>
        </w:rPr>
      </w:pPr>
      <w:r>
        <w:rPr>
          <w:rFonts w:hint="eastAsia" w:hAnsi="宋体"/>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int="eastAsia" w:hAnsi="宋体"/>
          <w:b/>
          <w:sz w:val="24"/>
        </w:rPr>
        <w:t>发布</w:t>
      </w:r>
      <w:r>
        <w:rPr>
          <w:rFonts w:hAnsi="宋体"/>
          <w:b/>
          <w:sz w:val="24"/>
        </w:rPr>
        <w:t>开始之日起</w:t>
      </w:r>
      <w:r>
        <w:rPr>
          <w:rFonts w:hint="eastAsia"/>
          <w:sz w:val="24"/>
        </w:rPr>
        <w:t>3</w:t>
      </w:r>
      <w:r>
        <w:rPr>
          <w:rFonts w:hAnsi="宋体"/>
          <w:sz w:val="24"/>
        </w:rPr>
        <w:t>日内以书面形式提出询问或疑问。</w:t>
      </w:r>
      <w:r>
        <w:rPr>
          <w:sz w:val="24"/>
        </w:rPr>
        <w:t>未在规定的</w:t>
      </w:r>
      <w:r>
        <w:rPr>
          <w:rFonts w:hint="eastAsia"/>
          <w:sz w:val="24"/>
        </w:rPr>
        <w:t>3</w:t>
      </w:r>
      <w:r>
        <w:rPr>
          <w:sz w:val="24"/>
        </w:rPr>
        <w:t>日内提出询问或疑问的，视同</w:t>
      </w:r>
      <w:r>
        <w:rPr>
          <w:rFonts w:hint="eastAsia"/>
          <w:sz w:val="24"/>
        </w:rPr>
        <w:t>投标人</w:t>
      </w:r>
      <w:r>
        <w:rPr>
          <w:sz w:val="24"/>
        </w:rPr>
        <w:t>理解并接受本招标文件所有内容，并由此引起的投标损失自负。</w:t>
      </w:r>
      <w:r>
        <w:rPr>
          <w:rFonts w:hint="eastAsia"/>
          <w:sz w:val="24"/>
        </w:rPr>
        <w:t>投标人</w:t>
      </w:r>
      <w:r>
        <w:rPr>
          <w:sz w:val="24"/>
        </w:rPr>
        <w:t>不得在招标结束后针对招标文件所有内容提出质疑事项。</w:t>
      </w:r>
      <w:r>
        <w:rPr>
          <w:b/>
          <w:bCs/>
          <w:sz w:val="24"/>
        </w:rPr>
        <w:t>非书面形式的不作为日后质疑提出的依据。</w:t>
      </w:r>
    </w:p>
    <w:p>
      <w:pPr>
        <w:snapToGrid w:val="0"/>
        <w:spacing w:line="420" w:lineRule="exact"/>
        <w:ind w:firstLine="482" w:firstLineChars="200"/>
        <w:jc w:val="left"/>
        <w:rPr>
          <w:b/>
          <w:sz w:val="24"/>
        </w:rPr>
      </w:pPr>
      <w:r>
        <w:rPr>
          <w:rFonts w:hAnsi="宋体"/>
          <w:b/>
          <w:sz w:val="24"/>
        </w:rPr>
        <w:t>二、招标文件的澄清、修改、答疑</w:t>
      </w:r>
    </w:p>
    <w:p>
      <w:pPr>
        <w:pStyle w:val="3"/>
        <w:snapToGrid w:val="0"/>
        <w:spacing w:after="0" w:line="420" w:lineRule="exact"/>
        <w:ind w:left="0" w:leftChars="0" w:firstLine="480" w:firstLineChars="200"/>
        <w:jc w:val="left"/>
        <w:rPr>
          <w:sz w:val="24"/>
        </w:rPr>
      </w:pPr>
      <w:r>
        <w:rPr>
          <w:sz w:val="24"/>
        </w:rPr>
        <w:t>1</w:t>
      </w:r>
      <w:r>
        <w:rPr>
          <w:rFonts w:hAnsi="宋体"/>
          <w:sz w:val="24"/>
        </w:rPr>
        <w:t>、招标人有权对发出的招标文件进行必要的澄清或修改。</w:t>
      </w:r>
    </w:p>
    <w:p>
      <w:pPr>
        <w:pStyle w:val="3"/>
        <w:snapToGrid w:val="0"/>
        <w:spacing w:after="0" w:line="420" w:lineRule="exact"/>
        <w:ind w:left="0" w:leftChars="0" w:firstLine="480" w:firstLineChars="200"/>
        <w:jc w:val="left"/>
        <w:rPr>
          <w:sz w:val="24"/>
        </w:rPr>
      </w:pPr>
      <w:r>
        <w:rPr>
          <w:sz w:val="24"/>
        </w:rPr>
        <w:t>2</w:t>
      </w:r>
      <w:r>
        <w:rPr>
          <w:rFonts w:hAnsi="宋体"/>
          <w:sz w:val="24"/>
        </w:rPr>
        <w:t>、招标人可视情取消、延长相关时间，不负责解释。</w:t>
      </w:r>
    </w:p>
    <w:p>
      <w:pPr>
        <w:pStyle w:val="3"/>
        <w:snapToGrid w:val="0"/>
        <w:spacing w:after="0" w:line="420" w:lineRule="exact"/>
        <w:ind w:left="0" w:leftChars="0" w:firstLine="480" w:firstLineChars="200"/>
        <w:jc w:val="left"/>
        <w:rPr>
          <w:rFonts w:hint="eastAsia" w:hAnsi="宋体"/>
          <w:sz w:val="24"/>
          <w:lang w:eastAsia="zh-CN"/>
        </w:rPr>
      </w:pPr>
      <w:r>
        <w:rPr>
          <w:sz w:val="24"/>
        </w:rPr>
        <w:t>3</w:t>
      </w:r>
      <w:r>
        <w:rPr>
          <w:rFonts w:hAnsi="宋体"/>
          <w:sz w:val="24"/>
        </w:rPr>
        <w:t>、招标人对招标文件的澄清、修改将构成招标文件的一部分，对投标人具有约束力。</w:t>
      </w:r>
    </w:p>
    <w:p>
      <w:pPr>
        <w:widowControl/>
        <w:snapToGrid w:val="0"/>
        <w:spacing w:line="420" w:lineRule="exact"/>
        <w:ind w:firstLine="480" w:firstLineChars="200"/>
        <w:jc w:val="left"/>
        <w:rPr>
          <w:rFonts w:hint="eastAsia" w:hAnsi="宋体"/>
          <w:sz w:val="24"/>
        </w:rPr>
      </w:pPr>
      <w:r>
        <w:rPr>
          <w:rFonts w:hAnsi="宋体"/>
          <w:sz w:val="24"/>
        </w:rPr>
        <w:t>4、投标人由于对招标文件的任何推论和误解以及招标人对有关问题的口头解释所造成的后果，均由投标人自负。</w:t>
      </w:r>
    </w:p>
    <w:p>
      <w:pPr>
        <w:snapToGrid w:val="0"/>
        <w:spacing w:line="420" w:lineRule="exact"/>
        <w:ind w:firstLine="482" w:firstLineChars="200"/>
        <w:jc w:val="left"/>
        <w:rPr>
          <w:b/>
          <w:sz w:val="24"/>
        </w:rPr>
      </w:pPr>
      <w:r>
        <w:rPr>
          <w:rFonts w:hAnsi="宋体"/>
          <w:b/>
          <w:sz w:val="24"/>
        </w:rPr>
        <w:t>三、投标报价</w:t>
      </w:r>
    </w:p>
    <w:p>
      <w:pPr>
        <w:pStyle w:val="3"/>
        <w:snapToGrid w:val="0"/>
        <w:spacing w:after="0" w:line="420" w:lineRule="exact"/>
        <w:ind w:left="0" w:leftChars="0" w:firstLine="480" w:firstLineChars="200"/>
        <w:jc w:val="left"/>
        <w:rPr>
          <w:rFonts w:hint="eastAsia" w:hAnsi="宋体"/>
          <w:sz w:val="24"/>
          <w:lang w:eastAsia="zh-CN"/>
        </w:rPr>
      </w:pPr>
      <w:r>
        <w:rPr>
          <w:rFonts w:hint="eastAsia" w:hAnsi="宋体"/>
          <w:sz w:val="24"/>
          <w:lang w:eastAsia="zh-CN"/>
        </w:rPr>
        <w:t>本项目</w:t>
      </w:r>
      <w:r>
        <w:rPr>
          <w:rFonts w:hAnsi="宋体"/>
          <w:sz w:val="24"/>
        </w:rPr>
        <w:t>只允许一个报价，不接受任何有选择性的报价。</w:t>
      </w:r>
    </w:p>
    <w:p>
      <w:pPr>
        <w:pStyle w:val="2"/>
        <w:widowControl/>
        <w:tabs>
          <w:tab w:val="left" w:pos="540"/>
        </w:tabs>
        <w:snapToGrid w:val="0"/>
        <w:spacing w:line="420" w:lineRule="exact"/>
        <w:ind w:left="540" w:firstLine="0"/>
        <w:contextualSpacing/>
        <w:jc w:val="left"/>
      </w:pPr>
      <w:r>
        <w:rPr>
          <w:rFonts w:hAnsi="宋体"/>
          <w:b/>
        </w:rPr>
        <w:t>四、投标文件的编写、份数和签署</w:t>
      </w:r>
    </w:p>
    <w:p>
      <w:pPr>
        <w:snapToGrid w:val="0"/>
        <w:spacing w:line="420" w:lineRule="exact"/>
        <w:ind w:firstLine="480" w:firstLineChars="200"/>
        <w:jc w:val="left"/>
        <w:rPr>
          <w:sz w:val="24"/>
        </w:rPr>
      </w:pPr>
      <w:r>
        <w:rPr>
          <w:rFonts w:hint="eastAsia"/>
          <w:sz w:val="24"/>
        </w:rPr>
        <w:t>1</w:t>
      </w:r>
      <w:r>
        <w:rPr>
          <w:rFonts w:hAnsi="宋体"/>
          <w:sz w:val="24"/>
        </w:rPr>
        <w:t>、投标文件</w:t>
      </w:r>
      <w:r>
        <w:rPr>
          <w:rFonts w:hint="eastAsia" w:hAnsi="宋体"/>
          <w:sz w:val="24"/>
        </w:rPr>
        <w:t>的</w:t>
      </w:r>
      <w:r>
        <w:rPr>
          <w:rFonts w:hint="eastAsia" w:hAnsi="宋体"/>
          <w:b/>
          <w:sz w:val="24"/>
        </w:rPr>
        <w:t>资格审查资料、技术标、报价标均为</w:t>
      </w:r>
      <w:r>
        <w:rPr>
          <w:rFonts w:hAnsi="宋体"/>
          <w:b/>
          <w:sz w:val="24"/>
          <w:lang w:val="zh-CN"/>
        </w:rPr>
        <w:t>一</w:t>
      </w:r>
      <w:r>
        <w:rPr>
          <w:rFonts w:hAnsi="宋体"/>
          <w:b/>
          <w:sz w:val="24"/>
        </w:rPr>
        <w:t>份正本和</w:t>
      </w:r>
      <w:r>
        <w:rPr>
          <w:rFonts w:hint="eastAsia" w:hAnsi="宋体"/>
          <w:b/>
          <w:sz w:val="24"/>
        </w:rPr>
        <w:t>二</w:t>
      </w:r>
      <w:r>
        <w:rPr>
          <w:rFonts w:hAnsi="宋体"/>
          <w:b/>
          <w:sz w:val="24"/>
        </w:rPr>
        <w:t>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int="eastAsia" w:hAnsi="宋体"/>
          <w:sz w:val="24"/>
        </w:rPr>
        <w:t>”</w:t>
      </w:r>
      <w:r>
        <w:rPr>
          <w:rFonts w:hAnsi="宋体"/>
          <w:sz w:val="24"/>
        </w:rPr>
        <w:t>、</w:t>
      </w:r>
      <w:r>
        <w:rPr>
          <w:rFonts w:hint="eastAsia" w:hAnsi="宋体"/>
          <w:sz w:val="24"/>
        </w:rPr>
        <w:t>“</w:t>
      </w:r>
      <w:r>
        <w:rPr>
          <w:rFonts w:hAnsi="宋体"/>
          <w:sz w:val="24"/>
        </w:rPr>
        <w:t>副本</w:t>
      </w:r>
      <w:r>
        <w:rPr>
          <w:rFonts w:hint="eastAsia" w:hAnsi="宋体"/>
          <w:sz w:val="24"/>
        </w:rPr>
        <w:t>”</w:t>
      </w:r>
      <w:r>
        <w:rPr>
          <w:rFonts w:hAnsi="宋体"/>
          <w:sz w:val="24"/>
        </w:rPr>
        <w:t>字样。</w:t>
      </w:r>
    </w:p>
    <w:p>
      <w:pPr>
        <w:snapToGrid w:val="0"/>
        <w:spacing w:line="420" w:lineRule="exact"/>
        <w:ind w:firstLine="480" w:firstLineChars="200"/>
        <w:jc w:val="left"/>
        <w:rPr>
          <w:sz w:val="24"/>
        </w:rPr>
      </w:pPr>
      <w:r>
        <w:rPr>
          <w:rFonts w:hint="eastAsia"/>
          <w:sz w:val="24"/>
        </w:rPr>
        <w:t>2</w:t>
      </w:r>
      <w:r>
        <w:rPr>
          <w:rFonts w:hAnsi="宋体"/>
          <w:sz w:val="24"/>
        </w:rPr>
        <w:t>、投标文件正本须打印并由投标人法定代表人或授权人签字并加盖单位印章。副本可复印，但须加盖单位印章。</w:t>
      </w:r>
    </w:p>
    <w:p>
      <w:pPr>
        <w:snapToGrid w:val="0"/>
        <w:spacing w:line="420" w:lineRule="exact"/>
        <w:ind w:firstLine="482" w:firstLineChars="200"/>
        <w:jc w:val="left"/>
        <w:rPr>
          <w:b/>
          <w:sz w:val="24"/>
        </w:rPr>
      </w:pPr>
      <w:r>
        <w:rPr>
          <w:rFonts w:hAnsi="宋体"/>
          <w:b/>
          <w:sz w:val="24"/>
        </w:rPr>
        <w:t>五、投标文件的密封及标记</w:t>
      </w:r>
    </w:p>
    <w:p>
      <w:pPr>
        <w:snapToGrid w:val="0"/>
        <w:spacing w:line="420" w:lineRule="exact"/>
        <w:ind w:firstLine="480" w:firstLineChars="200"/>
        <w:jc w:val="left"/>
        <w:rPr>
          <w:sz w:val="24"/>
        </w:rPr>
      </w:pPr>
      <w:r>
        <w:rPr>
          <w:sz w:val="24"/>
        </w:rPr>
        <w:t>1</w:t>
      </w:r>
      <w:r>
        <w:rPr>
          <w:rFonts w:hAnsi="宋体"/>
          <w:sz w:val="24"/>
        </w:rPr>
        <w:t>、投标人</w:t>
      </w:r>
      <w:r>
        <w:rPr>
          <w:rFonts w:hint="eastAsia" w:hAnsi="宋体"/>
          <w:sz w:val="24"/>
        </w:rPr>
        <w:t>可以</w:t>
      </w:r>
      <w:r>
        <w:rPr>
          <w:rFonts w:hAnsi="宋体"/>
          <w:sz w:val="24"/>
        </w:rPr>
        <w:t>将正本、副本合并密封，统一装在一个密封袋或密封箱内。</w:t>
      </w:r>
    </w:p>
    <w:p>
      <w:pPr>
        <w:snapToGrid w:val="0"/>
        <w:spacing w:line="420" w:lineRule="exact"/>
        <w:ind w:firstLine="480" w:firstLineChars="200"/>
        <w:jc w:val="left"/>
        <w:rPr>
          <w:rFonts w:hAnsi="宋体"/>
          <w:sz w:val="24"/>
        </w:rPr>
      </w:pPr>
      <w:r>
        <w:rPr>
          <w:sz w:val="24"/>
        </w:rPr>
        <w:t>2</w:t>
      </w:r>
      <w:r>
        <w:rPr>
          <w:rFonts w:hAnsi="宋体"/>
          <w:sz w:val="24"/>
        </w:rPr>
        <w:t>、</w:t>
      </w:r>
      <w:r>
        <w:rPr>
          <w:rFonts w:hint="eastAsia" w:hAnsi="宋体"/>
          <w:sz w:val="24"/>
        </w:rPr>
        <w:t>报价标</w:t>
      </w:r>
      <w:r>
        <w:rPr>
          <w:rFonts w:hAnsi="宋体"/>
          <w:sz w:val="24"/>
        </w:rPr>
        <w:t>须单独密封。</w:t>
      </w:r>
    </w:p>
    <w:p>
      <w:pPr>
        <w:snapToGrid w:val="0"/>
        <w:spacing w:line="420" w:lineRule="exact"/>
        <w:ind w:firstLine="480" w:firstLineChars="200"/>
        <w:rPr>
          <w:rFonts w:hint="eastAsia" w:hAnsi="宋体"/>
          <w:sz w:val="24"/>
        </w:rPr>
      </w:pPr>
      <w:r>
        <w:rPr>
          <w:rFonts w:hint="eastAsia" w:hAnsi="宋体"/>
          <w:sz w:val="24"/>
        </w:rPr>
        <w:t>3</w:t>
      </w:r>
      <w:r>
        <w:rPr>
          <w:rFonts w:hAnsi="宋体"/>
          <w:sz w:val="24"/>
        </w:rPr>
        <w:t>、投标文件的资格审查资料、报价标应分别密封，并在封袋上写明</w:t>
      </w:r>
      <w:r>
        <w:rPr>
          <w:rFonts w:hint="eastAsia" w:hAnsi="宋体"/>
          <w:sz w:val="24"/>
        </w:rPr>
        <w:t xml:space="preserve"> “</w:t>
      </w:r>
      <w:r>
        <w:rPr>
          <w:rFonts w:hAnsi="宋体"/>
          <w:b/>
          <w:sz w:val="24"/>
        </w:rPr>
        <w:t>资格审查资料</w:t>
      </w:r>
      <w:r>
        <w:rPr>
          <w:rFonts w:hint="eastAsia" w:hAnsi="宋体"/>
          <w:sz w:val="24"/>
        </w:rPr>
        <w:t>”</w:t>
      </w:r>
      <w:r>
        <w:rPr>
          <w:rFonts w:hAnsi="宋体"/>
          <w:sz w:val="24"/>
        </w:rPr>
        <w:t>、</w:t>
      </w:r>
      <w:r>
        <w:rPr>
          <w:rFonts w:hint="eastAsia" w:hAnsi="宋体"/>
          <w:sz w:val="24"/>
        </w:rPr>
        <w:t xml:space="preserve"> “</w:t>
      </w:r>
      <w:r>
        <w:rPr>
          <w:rFonts w:hint="eastAsia" w:hAnsi="宋体"/>
          <w:b/>
          <w:sz w:val="24"/>
        </w:rPr>
        <w:t>技术标</w:t>
      </w:r>
      <w:r>
        <w:rPr>
          <w:rFonts w:hint="eastAsia" w:hAnsi="宋体"/>
          <w:sz w:val="24"/>
        </w:rPr>
        <w:t>”</w:t>
      </w:r>
      <w:r>
        <w:rPr>
          <w:rFonts w:hAnsi="宋体"/>
          <w:sz w:val="24"/>
        </w:rPr>
        <w:t>、</w:t>
      </w:r>
      <w:r>
        <w:rPr>
          <w:rFonts w:hint="eastAsia" w:hAnsi="宋体"/>
          <w:sz w:val="24"/>
        </w:rPr>
        <w:t xml:space="preserve"> “</w:t>
      </w:r>
      <w:r>
        <w:rPr>
          <w:rFonts w:hAnsi="宋体"/>
          <w:b/>
          <w:sz w:val="24"/>
        </w:rPr>
        <w:t>报价标</w:t>
      </w:r>
      <w:r>
        <w:rPr>
          <w:rFonts w:hint="eastAsia" w:hAnsi="宋体"/>
          <w:sz w:val="24"/>
        </w:rPr>
        <w:t>”</w:t>
      </w:r>
      <w:r>
        <w:rPr>
          <w:rFonts w:hAnsi="宋体"/>
          <w:sz w:val="24"/>
        </w:rPr>
        <w:t>，同时还要写明采购人名称、项目名称及投标人名称。封袋上应加盖投标人公章。</w:t>
      </w:r>
    </w:p>
    <w:p>
      <w:pPr>
        <w:snapToGrid w:val="0"/>
        <w:spacing w:line="420" w:lineRule="exact"/>
        <w:ind w:firstLine="482" w:firstLineChars="200"/>
        <w:rPr>
          <w:rFonts w:hint="eastAsia" w:ascii="宋体" w:hAnsi="宋体"/>
          <w:b/>
          <w:sz w:val="24"/>
          <w:highlight w:val="none"/>
          <w:u w:val="single"/>
        </w:rPr>
      </w:pPr>
      <w:r>
        <w:rPr>
          <w:rFonts w:hint="eastAsia" w:ascii="宋体" w:hAnsi="宋体"/>
          <w:b/>
          <w:sz w:val="24"/>
          <w:highlight w:val="none"/>
          <w:u w:val="single"/>
        </w:rPr>
        <w:t>特别提醒：</w:t>
      </w:r>
    </w:p>
    <w:p>
      <w:pPr>
        <w:snapToGrid w:val="0"/>
        <w:spacing w:line="420" w:lineRule="exact"/>
        <w:ind w:firstLine="482" w:firstLineChars="200"/>
        <w:rPr>
          <w:rFonts w:hint="eastAsia" w:ascii="宋体" w:hAnsi="宋体"/>
          <w:b/>
          <w:sz w:val="24"/>
          <w:highlight w:val="none"/>
          <w:u w:val="single"/>
        </w:rPr>
      </w:pPr>
      <w:r>
        <w:rPr>
          <w:rFonts w:hint="eastAsia" w:ascii="宋体" w:hAnsi="宋体"/>
          <w:b/>
          <w:sz w:val="24"/>
          <w:highlight w:val="none"/>
          <w:u w:val="single"/>
        </w:rPr>
        <w:t>1、本项目分为四个标段，投标单位可参与一个或多个标段的投标，资格审查资料只需提供一份，技术标及报价标必须按标段分别提供、分别密封。</w:t>
      </w:r>
    </w:p>
    <w:p>
      <w:pPr>
        <w:snapToGrid w:val="0"/>
        <w:spacing w:line="420" w:lineRule="exact"/>
        <w:ind w:firstLine="482" w:firstLineChars="200"/>
        <w:jc w:val="left"/>
        <w:rPr>
          <w:rFonts w:hint="eastAsia" w:ascii="宋体" w:hAnsi="宋体"/>
          <w:sz w:val="24"/>
          <w:highlight w:val="none"/>
        </w:rPr>
      </w:pPr>
      <w:r>
        <w:rPr>
          <w:rFonts w:hint="eastAsia" w:hAnsi="宋体"/>
          <w:b/>
          <w:sz w:val="24"/>
          <w:highlight w:val="none"/>
        </w:rPr>
        <w:t>2、未按上述规定密封的投标文件，招标人不予接收</w:t>
      </w:r>
      <w:r>
        <w:rPr>
          <w:rFonts w:hint="eastAsia" w:hAnsi="宋体"/>
          <w:sz w:val="24"/>
          <w:highlight w:val="none"/>
        </w:rPr>
        <w:t>。</w:t>
      </w:r>
    </w:p>
    <w:p>
      <w:pPr>
        <w:snapToGrid w:val="0"/>
        <w:spacing w:line="420" w:lineRule="exact"/>
        <w:ind w:firstLine="482" w:firstLineChars="200"/>
        <w:jc w:val="left"/>
        <w:rPr>
          <w:rFonts w:hAnsi="宋体"/>
          <w:b/>
          <w:sz w:val="24"/>
        </w:rPr>
      </w:pPr>
      <w:r>
        <w:rPr>
          <w:rFonts w:hAnsi="宋体"/>
          <w:b/>
          <w:sz w:val="24"/>
        </w:rPr>
        <w:t>六、投标文件的递交时间</w:t>
      </w:r>
    </w:p>
    <w:p>
      <w:pPr>
        <w:snapToGrid w:val="0"/>
        <w:spacing w:line="420" w:lineRule="exact"/>
        <w:ind w:firstLine="480" w:firstLineChars="200"/>
        <w:jc w:val="left"/>
        <w:rPr>
          <w:sz w:val="24"/>
        </w:rPr>
      </w:pPr>
      <w:r>
        <w:rPr>
          <w:rFonts w:hAnsi="宋体"/>
          <w:sz w:val="24"/>
        </w:rPr>
        <w:t>投标人必须在规定的投标文件</w:t>
      </w:r>
      <w:r>
        <w:rPr>
          <w:rFonts w:hint="eastAsia" w:hAnsi="宋体"/>
          <w:sz w:val="24"/>
        </w:rPr>
        <w:t>递交</w:t>
      </w:r>
      <w:r>
        <w:rPr>
          <w:rFonts w:hAnsi="宋体"/>
          <w:sz w:val="24"/>
        </w:rPr>
        <w:t>截止时间前送达招标人。招标人将拒绝接收在投标截止时间后递交的投标文件。</w:t>
      </w:r>
    </w:p>
    <w:p>
      <w:pPr>
        <w:snapToGrid w:val="0"/>
        <w:spacing w:line="420" w:lineRule="exact"/>
        <w:ind w:firstLine="482" w:firstLineChars="200"/>
        <w:jc w:val="left"/>
        <w:rPr>
          <w:b/>
          <w:sz w:val="24"/>
        </w:rPr>
      </w:pPr>
      <w:r>
        <w:rPr>
          <w:b/>
          <w:sz w:val="24"/>
        </w:rPr>
        <w:t>七、投标保证金</w:t>
      </w:r>
      <w:r>
        <w:rPr>
          <w:rFonts w:hint="eastAsia"/>
          <w:b/>
          <w:sz w:val="24"/>
        </w:rPr>
        <w:t>（免收）</w:t>
      </w:r>
    </w:p>
    <w:p>
      <w:pPr>
        <w:snapToGrid w:val="0"/>
        <w:spacing w:line="420" w:lineRule="exact"/>
        <w:ind w:firstLine="482" w:firstLineChars="200"/>
        <w:jc w:val="left"/>
        <w:rPr>
          <w:rFonts w:hint="eastAsia"/>
          <w:b/>
          <w:sz w:val="24"/>
        </w:rPr>
      </w:pPr>
      <w:r>
        <w:rPr>
          <w:rFonts w:hint="eastAsia"/>
          <w:b/>
          <w:sz w:val="24"/>
        </w:rPr>
        <w:t>八</w:t>
      </w:r>
      <w:r>
        <w:rPr>
          <w:b/>
          <w:sz w:val="24"/>
        </w:rPr>
        <w:t>、</w:t>
      </w:r>
      <w:r>
        <w:rPr>
          <w:rFonts w:hint="eastAsia"/>
          <w:b/>
          <w:sz w:val="24"/>
        </w:rPr>
        <w:t>履约保证金</w:t>
      </w:r>
    </w:p>
    <w:p>
      <w:pPr>
        <w:snapToGrid w:val="0"/>
        <w:spacing w:line="420" w:lineRule="exact"/>
        <w:ind w:firstLine="480" w:firstLineChars="200"/>
        <w:jc w:val="left"/>
        <w:rPr>
          <w:rFonts w:hAnsi="宋体"/>
          <w:color w:val="auto"/>
          <w:sz w:val="24"/>
        </w:rPr>
      </w:pPr>
      <w:r>
        <w:rPr>
          <w:rFonts w:hAnsi="宋体"/>
          <w:sz w:val="24"/>
        </w:rPr>
        <w:t>1、本项目</w:t>
      </w:r>
      <w:r>
        <w:rPr>
          <w:rFonts w:hint="eastAsia" w:hAnsi="宋体"/>
          <w:sz w:val="24"/>
        </w:rPr>
        <w:t>中标</w:t>
      </w:r>
      <w:r>
        <w:rPr>
          <w:rFonts w:hAnsi="宋体"/>
          <w:sz w:val="24"/>
        </w:rPr>
        <w:t>后的履约保证</w:t>
      </w:r>
      <w:r>
        <w:rPr>
          <w:rFonts w:hAnsi="宋体"/>
          <w:color w:val="auto"/>
          <w:sz w:val="24"/>
        </w:rPr>
        <w:t>金</w:t>
      </w:r>
      <w:r>
        <w:rPr>
          <w:rFonts w:hint="eastAsia" w:hAnsi="宋体"/>
          <w:b/>
          <w:color w:val="auto"/>
          <w:sz w:val="24"/>
        </w:rPr>
        <w:t>每标段伍仟元整</w:t>
      </w:r>
      <w:r>
        <w:rPr>
          <w:rFonts w:hAnsi="宋体"/>
          <w:color w:val="auto"/>
          <w:sz w:val="24"/>
        </w:rPr>
        <w:t>。</w:t>
      </w:r>
    </w:p>
    <w:p>
      <w:pPr>
        <w:snapToGrid w:val="0"/>
        <w:spacing w:line="420" w:lineRule="exact"/>
        <w:ind w:firstLine="480" w:firstLineChars="200"/>
        <w:jc w:val="left"/>
        <w:rPr>
          <w:rFonts w:hAnsi="宋体"/>
          <w:sz w:val="24"/>
        </w:rPr>
      </w:pPr>
      <w:r>
        <w:rPr>
          <w:rFonts w:hAnsi="宋体"/>
          <w:sz w:val="24"/>
        </w:rPr>
        <w:t>2、</w:t>
      </w:r>
      <w:r>
        <w:rPr>
          <w:rFonts w:hint="eastAsia" w:hAnsi="宋体"/>
          <w:sz w:val="24"/>
        </w:rPr>
        <w:t>在中标通知书发出送达后的15日内，成交人凭“成交通知书”和“履约保证金”的缴纳凭证，与招标人签订合同，超期或未有协商，则视为自动放弃成交资格。</w:t>
      </w:r>
    </w:p>
    <w:p>
      <w:pPr>
        <w:snapToGrid w:val="0"/>
        <w:spacing w:line="420" w:lineRule="exact"/>
        <w:ind w:firstLine="480" w:firstLineChars="200"/>
        <w:jc w:val="left"/>
        <w:rPr>
          <w:rFonts w:hAnsi="宋体"/>
          <w:sz w:val="24"/>
        </w:rPr>
      </w:pPr>
      <w:r>
        <w:rPr>
          <w:rFonts w:hAnsi="宋体"/>
          <w:sz w:val="24"/>
        </w:rPr>
        <w:t>3、</w:t>
      </w:r>
      <w:r>
        <w:rPr>
          <w:rFonts w:hint="eastAsia" w:hAnsi="宋体"/>
          <w:sz w:val="24"/>
        </w:rPr>
        <w:t>中标人</w:t>
      </w:r>
      <w:r>
        <w:rPr>
          <w:rFonts w:hAnsi="宋体"/>
          <w:sz w:val="24"/>
        </w:rPr>
        <w:t>在按要求保质保量的完成该项目合同并通过验收后，</w:t>
      </w:r>
      <w:r>
        <w:rPr>
          <w:rFonts w:hint="eastAsia" w:hAnsi="宋体"/>
          <w:sz w:val="24"/>
        </w:rPr>
        <w:t>招标人</w:t>
      </w:r>
      <w:r>
        <w:rPr>
          <w:rFonts w:hAnsi="宋体"/>
          <w:sz w:val="24"/>
        </w:rPr>
        <w:t>凭</w:t>
      </w:r>
      <w:r>
        <w:rPr>
          <w:rFonts w:hint="eastAsia" w:hAnsi="宋体"/>
          <w:sz w:val="24"/>
        </w:rPr>
        <w:t>中标</w:t>
      </w:r>
      <w:r>
        <w:rPr>
          <w:rFonts w:hAnsi="宋体"/>
          <w:sz w:val="24"/>
        </w:rPr>
        <w:t>供应商提交的申请，一次性无息退还该合同项目的履约保证金。</w:t>
      </w:r>
    </w:p>
    <w:p>
      <w:pPr>
        <w:spacing w:line="420" w:lineRule="exact"/>
        <w:ind w:firstLine="480" w:firstLineChars="200"/>
        <w:rPr>
          <w:rFonts w:hint="eastAsia" w:hAnsi="宋体"/>
          <w:sz w:val="24"/>
        </w:rPr>
      </w:pPr>
      <w:r>
        <w:rPr>
          <w:rFonts w:hAnsi="宋体"/>
          <w:sz w:val="24"/>
        </w:rPr>
        <w:t>4、由于</w:t>
      </w:r>
      <w:r>
        <w:rPr>
          <w:rFonts w:hint="eastAsia" w:hAnsi="宋体"/>
          <w:sz w:val="24"/>
        </w:rPr>
        <w:t>中标人</w:t>
      </w:r>
      <w:r>
        <w:rPr>
          <w:rFonts w:hAnsi="宋体"/>
          <w:sz w:val="24"/>
        </w:rPr>
        <w:t>原因，在签订合同后出现不按合同履行的情况，</w:t>
      </w:r>
      <w:r>
        <w:rPr>
          <w:rFonts w:hint="eastAsia" w:hAnsi="宋体"/>
          <w:sz w:val="24"/>
        </w:rPr>
        <w:t>招标人</w:t>
      </w:r>
      <w:r>
        <w:rPr>
          <w:rFonts w:hAnsi="宋体"/>
          <w:sz w:val="24"/>
        </w:rPr>
        <w:t>有权将履约保证金作为违约金，全额不予退还，同时</w:t>
      </w:r>
      <w:r>
        <w:rPr>
          <w:rFonts w:hint="eastAsia" w:hAnsi="宋体"/>
          <w:sz w:val="24"/>
        </w:rPr>
        <w:t>招标人</w:t>
      </w:r>
      <w:r>
        <w:rPr>
          <w:rFonts w:hAnsi="宋体"/>
          <w:sz w:val="24"/>
        </w:rPr>
        <w:t>亦有权终止合同，</w:t>
      </w:r>
      <w:r>
        <w:rPr>
          <w:rFonts w:hint="eastAsia" w:hAnsi="宋体"/>
          <w:sz w:val="24"/>
        </w:rPr>
        <w:t>中标人</w:t>
      </w:r>
      <w:r>
        <w:rPr>
          <w:rFonts w:hAnsi="宋体"/>
          <w:sz w:val="24"/>
        </w:rPr>
        <w:t>还须承担相应的法律赔偿责任。</w:t>
      </w:r>
    </w:p>
    <w:p>
      <w:pPr>
        <w:spacing w:line="420" w:lineRule="exact"/>
        <w:ind w:firstLine="482" w:firstLineChars="200"/>
        <w:rPr>
          <w:rFonts w:hint="eastAsia" w:ascii="宋体" w:hAnsi="宋体"/>
          <w:b/>
          <w:sz w:val="24"/>
        </w:rPr>
      </w:pPr>
      <w:r>
        <w:rPr>
          <w:rFonts w:hint="eastAsia" w:ascii="宋体" w:hAnsi="宋体"/>
          <w:b/>
          <w:sz w:val="24"/>
        </w:rPr>
        <w:t>九、结算方式</w:t>
      </w:r>
    </w:p>
    <w:p>
      <w:pPr>
        <w:spacing w:line="420" w:lineRule="exact"/>
        <w:ind w:firstLine="480" w:firstLineChars="200"/>
        <w:rPr>
          <w:rFonts w:hint="eastAsia" w:ascii="宋体" w:hAnsi="宋体"/>
          <w:b/>
          <w:sz w:val="24"/>
        </w:rPr>
      </w:pPr>
      <w:r>
        <w:rPr>
          <w:rFonts w:ascii="宋体" w:hAnsi="宋体"/>
          <w:bCs/>
          <w:color w:val="000000"/>
          <w:sz w:val="24"/>
        </w:rPr>
        <w:t>培训费用由</w:t>
      </w:r>
      <w:r>
        <w:rPr>
          <w:rFonts w:hint="eastAsia" w:ascii="宋体" w:hAnsi="宋体"/>
          <w:bCs/>
          <w:color w:val="000000"/>
          <w:sz w:val="24"/>
        </w:rPr>
        <w:t>招标人</w:t>
      </w:r>
      <w:r>
        <w:rPr>
          <w:rFonts w:ascii="宋体" w:hAnsi="宋体"/>
          <w:bCs/>
          <w:color w:val="000000"/>
          <w:sz w:val="24"/>
        </w:rPr>
        <w:t>按统一收费标准收取，</w:t>
      </w:r>
      <w:r>
        <w:rPr>
          <w:rFonts w:hint="eastAsia" w:ascii="宋体" w:hAnsi="宋体"/>
          <w:bCs/>
          <w:color w:val="000000"/>
          <w:sz w:val="24"/>
        </w:rPr>
        <w:t>中标人</w:t>
      </w:r>
      <w:r>
        <w:rPr>
          <w:rFonts w:ascii="宋体" w:hAnsi="宋体"/>
          <w:bCs/>
          <w:color w:val="000000"/>
          <w:sz w:val="24"/>
        </w:rPr>
        <w:t>依据每月实际课消数量，按照分成比例开具发票后，向</w:t>
      </w:r>
      <w:r>
        <w:rPr>
          <w:rFonts w:hint="eastAsia" w:ascii="宋体" w:hAnsi="宋体"/>
          <w:bCs/>
          <w:color w:val="000000"/>
          <w:sz w:val="24"/>
        </w:rPr>
        <w:t>招标人</w:t>
      </w:r>
      <w:r>
        <w:rPr>
          <w:rFonts w:ascii="宋体" w:hAnsi="宋体"/>
          <w:bCs/>
          <w:color w:val="000000"/>
          <w:sz w:val="24"/>
        </w:rPr>
        <w:t>申请支付当月实际分成。</w:t>
      </w:r>
    </w:p>
    <w:p>
      <w:pPr>
        <w:spacing w:line="420" w:lineRule="exact"/>
        <w:ind w:firstLine="482" w:firstLineChars="200"/>
        <w:rPr>
          <w:rFonts w:ascii="宋体" w:hAnsi="宋体"/>
          <w:b/>
          <w:sz w:val="24"/>
        </w:rPr>
      </w:pPr>
      <w:r>
        <w:rPr>
          <w:rFonts w:hint="eastAsia" w:ascii="宋体" w:hAnsi="宋体"/>
          <w:b/>
          <w:sz w:val="24"/>
        </w:rPr>
        <w:t>九</w:t>
      </w:r>
      <w:r>
        <w:rPr>
          <w:rFonts w:ascii="宋体" w:hAnsi="宋体"/>
          <w:b/>
          <w:sz w:val="24"/>
        </w:rPr>
        <w:t>、投标有效期</w:t>
      </w:r>
    </w:p>
    <w:p>
      <w:pPr>
        <w:spacing w:line="420" w:lineRule="exact"/>
        <w:ind w:firstLine="480" w:firstLineChars="200"/>
        <w:rPr>
          <w:rFonts w:ascii="宋体" w:hAnsi="宋体"/>
          <w:sz w:val="24"/>
        </w:rPr>
      </w:pPr>
      <w:r>
        <w:rPr>
          <w:rFonts w:hint="eastAsia" w:ascii="宋体" w:hAnsi="宋体"/>
          <w:sz w:val="24"/>
        </w:rPr>
        <w:t>投标文件自投标截止时间起45日历内有效。</w:t>
      </w:r>
    </w:p>
    <w:p>
      <w:pPr>
        <w:spacing w:line="420" w:lineRule="exact"/>
        <w:ind w:firstLine="482" w:firstLineChars="200"/>
        <w:rPr>
          <w:rFonts w:ascii="宋体" w:hAnsi="宋体"/>
          <w:b/>
          <w:sz w:val="24"/>
        </w:rPr>
      </w:pPr>
      <w:r>
        <w:rPr>
          <w:rFonts w:hint="eastAsia" w:ascii="宋体" w:hAnsi="宋体"/>
          <w:b/>
          <w:sz w:val="24"/>
        </w:rPr>
        <w:t>十</w:t>
      </w:r>
      <w:r>
        <w:rPr>
          <w:rFonts w:ascii="宋体" w:hAnsi="宋体"/>
          <w:b/>
          <w:sz w:val="24"/>
        </w:rPr>
        <w:t>、投标费用</w:t>
      </w:r>
    </w:p>
    <w:p>
      <w:pPr>
        <w:spacing w:line="420" w:lineRule="exact"/>
        <w:ind w:firstLine="480" w:firstLineChars="200"/>
        <w:rPr>
          <w:rFonts w:ascii="宋体" w:hAnsi="宋体"/>
          <w:sz w:val="24"/>
        </w:rPr>
      </w:pPr>
      <w:r>
        <w:rPr>
          <w:rFonts w:ascii="宋体" w:hAnsi="宋体"/>
          <w:sz w:val="24"/>
        </w:rPr>
        <w:t>1、投标人应承担其编制投标文件以及递交投标文件所涉及的一切费用。无论投标结果如何，招标人对上述费用不负任何责任。</w:t>
      </w:r>
    </w:p>
    <w:p>
      <w:pPr>
        <w:spacing w:line="420" w:lineRule="exact"/>
        <w:ind w:firstLine="480" w:firstLineChars="200"/>
        <w:rPr>
          <w:rFonts w:hint="eastAsia" w:ascii="宋体" w:hAnsi="宋体"/>
          <w:sz w:val="24"/>
        </w:rPr>
      </w:pPr>
      <w:r>
        <w:rPr>
          <w:rFonts w:ascii="宋体" w:hAnsi="宋体"/>
          <w:sz w:val="24"/>
        </w:rPr>
        <w:t>2、</w:t>
      </w:r>
      <w:r>
        <w:rPr>
          <w:rFonts w:ascii="宋体" w:hAnsi="宋体"/>
          <w:b/>
          <w:sz w:val="24"/>
        </w:rPr>
        <w:t>招标文件及相关资料费</w:t>
      </w:r>
      <w:r>
        <w:rPr>
          <w:rFonts w:hint="eastAsia" w:ascii="宋体" w:hAnsi="宋体"/>
          <w:b/>
          <w:sz w:val="24"/>
        </w:rPr>
        <w:t>3</w:t>
      </w:r>
      <w:r>
        <w:rPr>
          <w:rFonts w:ascii="宋体" w:hAnsi="宋体"/>
          <w:b/>
          <w:sz w:val="24"/>
        </w:rPr>
        <w:t>00元</w:t>
      </w:r>
      <w:r>
        <w:rPr>
          <w:rFonts w:hint="eastAsia" w:ascii="宋体" w:hAnsi="宋体"/>
          <w:b/>
          <w:sz w:val="24"/>
        </w:rPr>
        <w:t>/标段</w:t>
      </w:r>
      <w:r>
        <w:rPr>
          <w:rFonts w:ascii="宋体" w:hAnsi="宋体"/>
          <w:b/>
          <w:sz w:val="24"/>
        </w:rPr>
        <w:t>，由投标人在</w:t>
      </w:r>
      <w:r>
        <w:rPr>
          <w:rFonts w:hint="eastAsia" w:ascii="宋体" w:hAnsi="宋体"/>
          <w:b/>
          <w:sz w:val="24"/>
        </w:rPr>
        <w:t>递交投</w:t>
      </w:r>
      <w:r>
        <w:rPr>
          <w:rFonts w:ascii="宋体" w:hAnsi="宋体"/>
          <w:b/>
          <w:sz w:val="24"/>
        </w:rPr>
        <w:t>标文件时缴纳</w:t>
      </w:r>
      <w:r>
        <w:rPr>
          <w:rFonts w:hint="eastAsia" w:ascii="宋体" w:hAnsi="宋体"/>
          <w:b/>
          <w:sz w:val="24"/>
        </w:rPr>
        <w:t>，售后不退</w:t>
      </w:r>
      <w:r>
        <w:rPr>
          <w:rFonts w:ascii="宋体" w:hAnsi="宋体"/>
          <w:b/>
          <w:sz w:val="24"/>
        </w:rPr>
        <w:t>。</w:t>
      </w:r>
      <w:bookmarkStart w:id="22" w:name="_Hlk16760649"/>
      <w:r>
        <w:rPr>
          <w:rFonts w:hint="eastAsia" w:ascii="宋体" w:hAnsi="宋体"/>
          <w:b/>
          <w:sz w:val="24"/>
        </w:rPr>
        <w:t>本项目招标代理服务费及评委费由中标人支付。招标代理服务费按1500元/标段收取，评委费按实支付。投标人自行考虑相关费用并包含在投标报价内的该项费用及风险并将其综合在单价内，不得单列</w:t>
      </w:r>
      <w:bookmarkEnd w:id="22"/>
      <w:r>
        <w:rPr>
          <w:rFonts w:hint="eastAsia" w:ascii="宋体" w:hAnsi="宋体"/>
          <w:b/>
          <w:sz w:val="24"/>
        </w:rPr>
        <w:t>。</w:t>
      </w:r>
    </w:p>
    <w:p>
      <w:pPr>
        <w:snapToGrid w:val="0"/>
        <w:spacing w:line="420" w:lineRule="exact"/>
        <w:rPr>
          <w:rFonts w:hint="eastAsia" w:ascii="仿宋_GB2312" w:eastAsia="仿宋_GB2312"/>
          <w:b/>
          <w:bCs/>
          <w:sz w:val="36"/>
          <w:szCs w:val="36"/>
        </w:rPr>
      </w:pPr>
    </w:p>
    <w:p>
      <w:pPr>
        <w:snapToGrid w:val="0"/>
        <w:spacing w:line="420" w:lineRule="exact"/>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hint="eastAsia" w:ascii="仿宋_GB2312" w:eastAsia="仿宋_GB2312"/>
          <w:b/>
          <w:bCs/>
          <w:sz w:val="36"/>
          <w:szCs w:val="36"/>
        </w:rPr>
      </w:pPr>
    </w:p>
    <w:p>
      <w:pPr>
        <w:snapToGrid w:val="0"/>
        <w:spacing w:line="420" w:lineRule="exact"/>
        <w:jc w:val="center"/>
        <w:rPr>
          <w:rFonts w:ascii="仿宋_GB2312" w:eastAsia="仿宋_GB2312"/>
          <w:b/>
          <w:bCs/>
          <w:sz w:val="36"/>
          <w:szCs w:val="36"/>
        </w:rPr>
      </w:pPr>
      <w:r>
        <w:rPr>
          <w:rFonts w:hint="eastAsia" w:ascii="仿宋_GB2312" w:eastAsia="仿宋_GB2312"/>
          <w:b/>
          <w:bCs/>
          <w:sz w:val="36"/>
          <w:szCs w:val="36"/>
        </w:rPr>
        <w:t>第三部分  项目需求说明</w:t>
      </w:r>
    </w:p>
    <w:p>
      <w:pPr>
        <w:spacing w:line="420" w:lineRule="exact"/>
        <w:ind w:firstLine="482" w:firstLineChars="200"/>
        <w:rPr>
          <w:rFonts w:hint="eastAsia" w:ascii="宋体" w:hAnsi="宋体" w:cs="宋体"/>
          <w:b/>
          <w:bCs/>
          <w:sz w:val="24"/>
        </w:rPr>
      </w:pPr>
      <w:r>
        <w:rPr>
          <w:rFonts w:hint="eastAsia" w:ascii="宋体" w:hAnsi="宋体" w:cs="宋体"/>
          <w:b/>
          <w:bCs/>
          <w:sz w:val="24"/>
        </w:rPr>
        <w:t>一</w:t>
      </w:r>
      <w:r>
        <w:rPr>
          <w:rFonts w:ascii="宋体" w:hAnsi="宋体" w:cs="宋体"/>
          <w:b/>
          <w:bCs/>
          <w:sz w:val="24"/>
        </w:rPr>
        <w:t>、</w:t>
      </w:r>
      <w:r>
        <w:rPr>
          <w:rFonts w:hint="eastAsia" w:ascii="宋体" w:hAnsi="宋体" w:cs="宋体"/>
          <w:b/>
          <w:bCs/>
          <w:sz w:val="24"/>
        </w:rPr>
        <w:t>项目要求</w:t>
      </w:r>
    </w:p>
    <w:p>
      <w:pPr>
        <w:spacing w:line="420" w:lineRule="exact"/>
        <w:ind w:firstLine="480" w:firstLineChars="200"/>
        <w:rPr>
          <w:rFonts w:ascii="宋体" w:hAnsi="宋体"/>
          <w:bCs/>
          <w:color w:val="000000"/>
          <w:kern w:val="0"/>
          <w:sz w:val="24"/>
        </w:rPr>
      </w:pPr>
      <w:r>
        <w:rPr>
          <w:rFonts w:ascii="宋体" w:hAnsi="宋体"/>
          <w:bCs/>
          <w:color w:val="000000"/>
          <w:kern w:val="0"/>
          <w:sz w:val="24"/>
        </w:rPr>
        <w:t>1</w:t>
      </w:r>
      <w:r>
        <w:rPr>
          <w:rFonts w:hint="eastAsia" w:ascii="宋体" w:hAnsi="宋体"/>
          <w:bCs/>
          <w:color w:val="000000"/>
          <w:kern w:val="0"/>
          <w:sz w:val="24"/>
        </w:rPr>
        <w:t>.</w:t>
      </w:r>
      <w:r>
        <w:rPr>
          <w:rFonts w:hint="eastAsia" w:ascii="宋体" w:hAnsi="宋体"/>
          <w:sz w:val="24"/>
        </w:rPr>
        <w:t xml:space="preserve"> 合作期限：暂定3年。合同一年一签，合同期满后，</w:t>
      </w:r>
      <w:r>
        <w:rPr>
          <w:rFonts w:hint="eastAsia" w:ascii="宋体" w:hAnsi="宋体"/>
          <w:kern w:val="0"/>
          <w:sz w:val="24"/>
        </w:rPr>
        <w:t>招标人</w:t>
      </w:r>
      <w:r>
        <w:rPr>
          <w:rFonts w:hint="eastAsia" w:ascii="宋体" w:hAnsi="宋体"/>
          <w:sz w:val="24"/>
        </w:rPr>
        <w:t>根据对中标人考核情况（年度考核≥90分），如中标人仍有合作意向，由中标人申请，并经相关部门审核后，可续签合同，每次续签1年，最多可续签2次。</w:t>
      </w:r>
    </w:p>
    <w:p>
      <w:pPr>
        <w:spacing w:line="420" w:lineRule="exact"/>
        <w:ind w:firstLine="480" w:firstLineChars="200"/>
        <w:rPr>
          <w:rFonts w:ascii="宋体" w:hAnsi="宋体"/>
          <w:bCs/>
          <w:color w:val="000000"/>
          <w:kern w:val="0"/>
          <w:sz w:val="24"/>
        </w:rPr>
      </w:pPr>
      <w:r>
        <w:rPr>
          <w:rFonts w:hint="eastAsia" w:ascii="宋体" w:hAnsi="宋体"/>
          <w:bCs/>
          <w:color w:val="000000"/>
          <w:kern w:val="0"/>
          <w:sz w:val="24"/>
        </w:rPr>
        <w:t>2.</w:t>
      </w:r>
      <w:r>
        <w:rPr>
          <w:rFonts w:ascii="宋体" w:hAnsi="宋体"/>
          <w:bCs/>
          <w:color w:val="000000"/>
          <w:kern w:val="0"/>
          <w:sz w:val="24"/>
        </w:rPr>
        <w:t>中标人在中心进行的招生、教学、培训等活动须以中心名义开展，须服从中心的统一规划管理，遵守中心相关规定。</w:t>
      </w:r>
    </w:p>
    <w:p>
      <w:pPr>
        <w:spacing w:line="420" w:lineRule="exact"/>
        <w:ind w:firstLine="480" w:firstLineChars="200"/>
        <w:rPr>
          <w:rFonts w:ascii="宋体" w:hAnsi="宋体"/>
          <w:bCs/>
          <w:color w:val="000000"/>
          <w:kern w:val="0"/>
          <w:sz w:val="24"/>
        </w:rPr>
      </w:pPr>
      <w:r>
        <w:rPr>
          <w:rFonts w:hint="eastAsia" w:ascii="宋体" w:hAnsi="宋体"/>
          <w:bCs/>
          <w:color w:val="000000"/>
          <w:kern w:val="0"/>
          <w:sz w:val="24"/>
        </w:rPr>
        <w:t>3</w:t>
      </w:r>
      <w:r>
        <w:rPr>
          <w:rFonts w:ascii="宋体" w:hAnsi="宋体"/>
          <w:bCs/>
          <w:color w:val="000000"/>
          <w:kern w:val="0"/>
          <w:sz w:val="24"/>
        </w:rPr>
        <w:t>.中标人在中心招收的学员须与</w:t>
      </w:r>
      <w:r>
        <w:rPr>
          <w:rFonts w:hint="eastAsia" w:ascii="宋体" w:hAnsi="宋体"/>
          <w:bCs/>
          <w:color w:val="000000"/>
          <w:kern w:val="0"/>
          <w:sz w:val="24"/>
        </w:rPr>
        <w:t>招标人</w:t>
      </w:r>
      <w:r>
        <w:rPr>
          <w:rFonts w:ascii="宋体" w:hAnsi="宋体"/>
          <w:bCs/>
          <w:color w:val="000000"/>
          <w:kern w:val="0"/>
          <w:sz w:val="24"/>
        </w:rPr>
        <w:t>统一签署培训协议，协议中应明确告知招标人与中标人间关系及相关注意事项。</w:t>
      </w:r>
    </w:p>
    <w:p>
      <w:pPr>
        <w:spacing w:line="420" w:lineRule="exact"/>
        <w:ind w:firstLine="480" w:firstLineChars="200"/>
        <w:rPr>
          <w:rFonts w:ascii="宋体" w:hAnsi="宋体"/>
          <w:bCs/>
          <w:color w:val="000000"/>
          <w:kern w:val="0"/>
          <w:sz w:val="24"/>
        </w:rPr>
      </w:pPr>
      <w:r>
        <w:rPr>
          <w:rFonts w:hint="eastAsia" w:ascii="宋体" w:hAnsi="宋体"/>
          <w:bCs/>
          <w:color w:val="000000"/>
          <w:kern w:val="0"/>
          <w:sz w:val="24"/>
        </w:rPr>
        <w:t>4.</w:t>
      </w:r>
      <w:r>
        <w:rPr>
          <w:rFonts w:ascii="宋体" w:hAnsi="宋体"/>
          <w:bCs/>
          <w:color w:val="000000"/>
          <w:kern w:val="0"/>
          <w:sz w:val="24"/>
        </w:rPr>
        <w:t xml:space="preserve"> 严禁中标人私自收取学员费用或通过中心场地拉拢生源带出教学，一经发现立即终止协议，并扣除当月结算费用的50%。</w:t>
      </w:r>
    </w:p>
    <w:p>
      <w:pPr>
        <w:spacing w:line="420" w:lineRule="exact"/>
        <w:ind w:firstLine="480" w:firstLineChars="200"/>
        <w:rPr>
          <w:rFonts w:ascii="宋体" w:hAnsi="宋体"/>
          <w:bCs/>
          <w:color w:val="000000"/>
          <w:kern w:val="0"/>
          <w:sz w:val="24"/>
        </w:rPr>
      </w:pPr>
      <w:r>
        <w:rPr>
          <w:rFonts w:hint="eastAsia" w:ascii="宋体" w:hAnsi="宋体"/>
          <w:bCs/>
          <w:color w:val="000000"/>
          <w:kern w:val="0"/>
          <w:sz w:val="24"/>
        </w:rPr>
        <w:t>5</w:t>
      </w:r>
      <w:r>
        <w:rPr>
          <w:rFonts w:ascii="宋体" w:hAnsi="宋体"/>
          <w:bCs/>
          <w:color w:val="000000"/>
          <w:kern w:val="0"/>
          <w:sz w:val="24"/>
        </w:rPr>
        <w:t>. 中标人负责培训期间学员的人身安全，发生意外事件的，招标人以公众责任险等所购保险的赔付额度为限承担有限负责，超出</w:t>
      </w:r>
      <w:r>
        <w:rPr>
          <w:rFonts w:hint="eastAsia" w:ascii="宋体" w:hAnsi="宋体"/>
          <w:bCs/>
          <w:color w:val="000000"/>
          <w:kern w:val="0"/>
          <w:sz w:val="24"/>
        </w:rPr>
        <w:t>部分全部</w:t>
      </w:r>
      <w:r>
        <w:rPr>
          <w:rFonts w:ascii="宋体" w:hAnsi="宋体"/>
          <w:bCs/>
          <w:color w:val="000000"/>
          <w:kern w:val="0"/>
          <w:sz w:val="24"/>
        </w:rPr>
        <w:t>由中标人承担。</w:t>
      </w:r>
    </w:p>
    <w:p>
      <w:pPr>
        <w:spacing w:line="420" w:lineRule="exact"/>
        <w:ind w:firstLine="480" w:firstLineChars="200"/>
        <w:rPr>
          <w:rFonts w:ascii="宋体" w:hAnsi="宋体"/>
          <w:bCs/>
          <w:color w:val="000000"/>
          <w:kern w:val="0"/>
          <w:sz w:val="24"/>
        </w:rPr>
      </w:pPr>
      <w:r>
        <w:rPr>
          <w:rFonts w:hint="eastAsia" w:ascii="宋体" w:hAnsi="宋体"/>
          <w:bCs/>
          <w:color w:val="000000"/>
          <w:kern w:val="0"/>
          <w:sz w:val="24"/>
        </w:rPr>
        <w:t>6</w:t>
      </w:r>
      <w:r>
        <w:rPr>
          <w:rFonts w:ascii="宋体" w:hAnsi="宋体"/>
          <w:bCs/>
          <w:color w:val="000000"/>
          <w:kern w:val="0"/>
          <w:sz w:val="24"/>
        </w:rPr>
        <w:t>. 合作期间，中标人对中心的整体规划要积极配合，对中心推出的主题活动须积极参与并配和完成。</w:t>
      </w:r>
    </w:p>
    <w:p>
      <w:pPr>
        <w:spacing w:line="420" w:lineRule="exact"/>
        <w:ind w:firstLine="480" w:firstLineChars="200"/>
        <w:rPr>
          <w:rFonts w:hint="eastAsia" w:ascii="宋体" w:hAnsi="宋体"/>
          <w:bCs/>
          <w:color w:val="000000"/>
          <w:kern w:val="0"/>
          <w:sz w:val="24"/>
        </w:rPr>
      </w:pPr>
      <w:r>
        <w:rPr>
          <w:rFonts w:hint="eastAsia" w:ascii="宋体" w:hAnsi="宋体"/>
          <w:bCs/>
          <w:color w:val="000000"/>
          <w:kern w:val="0"/>
          <w:sz w:val="24"/>
        </w:rPr>
        <w:t>7.</w:t>
      </w:r>
      <w:r>
        <w:rPr>
          <w:rFonts w:ascii="宋体" w:hAnsi="宋体"/>
          <w:bCs/>
          <w:color w:val="000000"/>
          <w:kern w:val="0"/>
          <w:sz w:val="24"/>
        </w:rPr>
        <w:t xml:space="preserve"> 合作期间，中标人要求提前终止解决协议的，应提前一个月通知</w:t>
      </w:r>
      <w:r>
        <w:rPr>
          <w:rFonts w:hint="eastAsia" w:ascii="宋体" w:hAnsi="宋体"/>
          <w:bCs/>
          <w:color w:val="000000"/>
          <w:kern w:val="0"/>
          <w:sz w:val="24"/>
        </w:rPr>
        <w:t>招标人</w:t>
      </w:r>
      <w:r>
        <w:rPr>
          <w:rFonts w:ascii="宋体" w:hAnsi="宋体"/>
          <w:bCs/>
          <w:color w:val="000000"/>
          <w:kern w:val="0"/>
          <w:sz w:val="24"/>
        </w:rPr>
        <w:t>。经双方协商一致后，办理费用结算、学员退费等手续。</w:t>
      </w:r>
    </w:p>
    <w:p>
      <w:pPr>
        <w:spacing w:line="420" w:lineRule="exact"/>
        <w:ind w:firstLine="480" w:firstLineChars="200"/>
        <w:rPr>
          <w:rFonts w:hint="eastAsia" w:ascii="宋体" w:hAnsi="宋体"/>
          <w:bCs/>
          <w:color w:val="auto"/>
          <w:kern w:val="0"/>
          <w:sz w:val="24"/>
        </w:rPr>
      </w:pPr>
      <w:r>
        <w:rPr>
          <w:rFonts w:hint="eastAsia" w:ascii="宋体" w:hAnsi="宋体"/>
          <w:bCs/>
          <w:color w:val="auto"/>
          <w:kern w:val="0"/>
          <w:sz w:val="24"/>
        </w:rPr>
        <w:t>8.双方合作进行该项目的培训教学工作，招标人提供场地，中标人提供教练员，合作期间中标人须服从场馆的整体安排。</w:t>
      </w:r>
    </w:p>
    <w:p>
      <w:pPr>
        <w:spacing w:line="420" w:lineRule="exact"/>
        <w:ind w:firstLine="480" w:firstLineChars="200"/>
        <w:rPr>
          <w:rFonts w:ascii="宋体" w:hAnsi="宋体"/>
          <w:bCs/>
          <w:color w:val="auto"/>
          <w:kern w:val="0"/>
          <w:sz w:val="24"/>
        </w:rPr>
      </w:pPr>
      <w:r>
        <w:rPr>
          <w:rFonts w:hint="eastAsia" w:ascii="宋体" w:hAnsi="宋体"/>
          <w:bCs/>
          <w:color w:val="auto"/>
          <w:kern w:val="0"/>
          <w:sz w:val="24"/>
        </w:rPr>
        <w:t>9.双方按约定分成比例对该培训所产生的营业额进行分成，培训费用由招标人统一收取，培训费用次月核对，中标人需开具发票领取对应分成。</w:t>
      </w:r>
    </w:p>
    <w:p>
      <w:pPr>
        <w:spacing w:line="500" w:lineRule="exact"/>
        <w:ind w:firstLine="482" w:firstLineChars="200"/>
        <w:rPr>
          <w:rFonts w:ascii="宋体" w:hAnsi="宋体"/>
          <w:color w:val="auto"/>
          <w:sz w:val="24"/>
        </w:rPr>
      </w:pPr>
      <w:r>
        <w:rPr>
          <w:rFonts w:hint="eastAsia" w:hAnsi="宋体"/>
          <w:b/>
          <w:color w:val="auto"/>
          <w:sz w:val="24"/>
        </w:rPr>
        <w:t>二、投标报价</w:t>
      </w:r>
    </w:p>
    <w:p>
      <w:pPr>
        <w:snapToGrid w:val="0"/>
        <w:spacing w:line="420" w:lineRule="exact"/>
        <w:ind w:firstLine="494" w:firstLineChars="206"/>
        <w:rPr>
          <w:rFonts w:ascii="宋体" w:hAnsi="宋体"/>
          <w:sz w:val="24"/>
        </w:rPr>
      </w:pPr>
      <w:r>
        <w:rPr>
          <w:rFonts w:ascii="宋体" w:hAnsi="宋体"/>
          <w:sz w:val="24"/>
        </w:rPr>
        <w:t>1、本项目不接受任何有选择的报价。</w:t>
      </w:r>
    </w:p>
    <w:p>
      <w:pPr>
        <w:snapToGrid w:val="0"/>
        <w:spacing w:line="420" w:lineRule="exact"/>
        <w:ind w:firstLine="494" w:firstLineChars="206"/>
        <w:rPr>
          <w:rFonts w:ascii="宋体" w:hAnsi="宋体"/>
          <w:sz w:val="24"/>
        </w:rPr>
      </w:pPr>
      <w:r>
        <w:rPr>
          <w:rFonts w:ascii="宋体" w:hAnsi="宋体"/>
          <w:sz w:val="24"/>
        </w:rPr>
        <w:t>2、</w:t>
      </w:r>
      <w:r>
        <w:rPr>
          <w:rFonts w:hint="eastAsia" w:ascii="宋体" w:hAnsi="宋体"/>
          <w:sz w:val="24"/>
        </w:rPr>
        <w:t>报价表必须加盖投标人公章且必须经法定代表人或被委托受权人签署。</w:t>
      </w:r>
    </w:p>
    <w:p>
      <w:pPr>
        <w:snapToGrid w:val="0"/>
        <w:spacing w:line="420" w:lineRule="exact"/>
        <w:ind w:firstLine="494" w:firstLineChars="206"/>
        <w:rPr>
          <w:rFonts w:ascii="宋体" w:hAnsi="宋体"/>
          <w:sz w:val="24"/>
        </w:rPr>
      </w:pPr>
      <w:r>
        <w:rPr>
          <w:rFonts w:ascii="宋体" w:hAnsi="宋体"/>
          <w:sz w:val="24"/>
        </w:rPr>
        <w:t>3</w:t>
      </w:r>
      <w:r>
        <w:rPr>
          <w:rFonts w:hint="eastAsia" w:ascii="宋体" w:hAnsi="宋体"/>
          <w:sz w:val="24"/>
        </w:rPr>
        <w:t>、报价出现前后不一致的，按照下列规定修正：</w:t>
      </w:r>
    </w:p>
    <w:p>
      <w:pPr>
        <w:snapToGrid w:val="0"/>
        <w:spacing w:line="420" w:lineRule="exact"/>
        <w:ind w:firstLine="494" w:firstLineChars="206"/>
        <w:rPr>
          <w:rFonts w:ascii="宋体" w:hAnsi="宋体"/>
          <w:sz w:val="24"/>
        </w:rPr>
      </w:pPr>
      <w:r>
        <w:rPr>
          <w:rFonts w:hint="eastAsia" w:ascii="宋体" w:hAnsi="宋体"/>
          <w:sz w:val="24"/>
        </w:rPr>
        <w:t>（1）投标文件中报价表（开标一览表）内容与投标文件技术响应中内容明细不一致的，以报价表（开标一览表）为准；</w:t>
      </w:r>
    </w:p>
    <w:p>
      <w:pPr>
        <w:snapToGrid w:val="0"/>
        <w:spacing w:line="420" w:lineRule="exact"/>
        <w:ind w:firstLine="494" w:firstLineChars="206"/>
        <w:rPr>
          <w:rFonts w:ascii="宋体" w:hAnsi="宋体"/>
          <w:sz w:val="24"/>
        </w:rPr>
      </w:pPr>
      <w:r>
        <w:rPr>
          <w:rFonts w:hint="eastAsia" w:ascii="宋体" w:hAnsi="宋体"/>
          <w:sz w:val="24"/>
        </w:rPr>
        <w:t>（2）投标文件中涉及大写金额和小写金额不一致的，以大写金额为准；</w:t>
      </w:r>
    </w:p>
    <w:p>
      <w:pPr>
        <w:snapToGrid w:val="0"/>
        <w:spacing w:line="420" w:lineRule="exact"/>
        <w:ind w:firstLine="494" w:firstLineChars="206"/>
        <w:rPr>
          <w:rFonts w:ascii="宋体" w:hAnsi="宋体"/>
          <w:sz w:val="24"/>
        </w:rPr>
      </w:pPr>
      <w:r>
        <w:rPr>
          <w:rFonts w:hint="eastAsia" w:ascii="宋体" w:hAnsi="宋体"/>
          <w:sz w:val="24"/>
        </w:rPr>
        <w:t>（3）单价金额小数点或者百分比有明显错位的，以报价表（开标一览表）的总价为准，并修改单价；</w:t>
      </w:r>
    </w:p>
    <w:p>
      <w:pPr>
        <w:snapToGrid w:val="0"/>
        <w:spacing w:line="420" w:lineRule="exact"/>
        <w:ind w:firstLine="494" w:firstLineChars="206"/>
        <w:rPr>
          <w:rFonts w:ascii="宋体" w:hAnsi="宋体"/>
          <w:sz w:val="24"/>
        </w:rPr>
      </w:pPr>
      <w:r>
        <w:rPr>
          <w:rFonts w:hint="eastAsia" w:ascii="宋体" w:hAnsi="宋体"/>
          <w:sz w:val="24"/>
        </w:rPr>
        <w:t>（4）总价金额与按单价汇总金额不一致的，以单价金额计算结果为准。</w:t>
      </w:r>
    </w:p>
    <w:p>
      <w:pPr>
        <w:snapToGrid w:val="0"/>
        <w:spacing w:line="420" w:lineRule="exact"/>
        <w:ind w:firstLine="494" w:firstLineChars="206"/>
        <w:rPr>
          <w:rFonts w:hint="eastAsia" w:ascii="宋体" w:hAnsi="宋体"/>
          <w:sz w:val="24"/>
        </w:rPr>
      </w:pPr>
      <w:r>
        <w:rPr>
          <w:rFonts w:hint="eastAsia" w:ascii="宋体" w:hAnsi="宋体"/>
          <w:sz w:val="24"/>
        </w:rPr>
        <w:t>同时出现两种以上不一致的，按照前款规定的顺序修正。修正后的报价应当由投标人的法定代表人或其授权的代表签字确认后产生约束力，投标人不确认的，其投标无效。</w:t>
      </w:r>
    </w:p>
    <w:p>
      <w:pPr>
        <w:snapToGrid w:val="0"/>
        <w:spacing w:line="420" w:lineRule="exact"/>
        <w:ind w:firstLine="494" w:firstLineChars="206"/>
        <w:rPr>
          <w:rFonts w:hint="eastAsia" w:ascii="宋体" w:hAnsi="宋体"/>
          <w:color w:val="auto"/>
          <w:sz w:val="24"/>
        </w:rPr>
      </w:pPr>
      <w:r>
        <w:rPr>
          <w:rFonts w:ascii="宋体" w:hAnsi="宋体"/>
          <w:sz w:val="24"/>
        </w:rPr>
        <w:t>4</w:t>
      </w:r>
      <w:r>
        <w:rPr>
          <w:rFonts w:hint="eastAsia" w:ascii="宋体" w:hAnsi="宋体"/>
          <w:sz w:val="24"/>
        </w:rPr>
        <w:t>、</w:t>
      </w:r>
      <w:r>
        <w:rPr>
          <w:rFonts w:hint="eastAsia" w:ascii="宋体" w:hAnsi="宋体"/>
          <w:color w:val="auto"/>
          <w:sz w:val="24"/>
        </w:rPr>
        <w:t>投标响应报价中</w:t>
      </w:r>
      <w:r>
        <w:rPr>
          <w:rFonts w:hint="eastAsia" w:ascii="宋体" w:hAnsi="宋体" w:cs="宋体"/>
          <w:color w:val="auto"/>
          <w:kern w:val="0"/>
          <w:sz w:val="24"/>
        </w:rPr>
        <w:t>包括完成招标内容所需人工费、材料费、与项目有关的设备和耗材费、管理费、利润、税金、保险费等相关费用。</w:t>
      </w:r>
    </w:p>
    <w:p>
      <w:pPr>
        <w:snapToGrid w:val="0"/>
        <w:spacing w:line="420" w:lineRule="exact"/>
        <w:ind w:firstLine="494" w:firstLineChars="206"/>
        <w:rPr>
          <w:rFonts w:ascii="宋体" w:hAnsi="宋体"/>
          <w:color w:val="auto"/>
          <w:sz w:val="24"/>
        </w:rPr>
      </w:pPr>
      <w:r>
        <w:rPr>
          <w:rFonts w:ascii="宋体" w:hAnsi="宋体"/>
          <w:color w:val="auto"/>
          <w:sz w:val="24"/>
        </w:rPr>
        <w:t>5、本次招标项目仅为一次商务报价，一旦中标即为成交价。</w:t>
      </w:r>
      <w:r>
        <w:rPr>
          <w:rFonts w:hint="eastAsia" w:ascii="宋体" w:hAnsi="宋体"/>
          <w:color w:val="auto"/>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pPr>
        <w:spacing w:line="420" w:lineRule="exact"/>
        <w:ind w:firstLine="482" w:firstLineChars="200"/>
        <w:rPr>
          <w:rFonts w:ascii="宋体" w:hAnsi="宋体"/>
          <w:b/>
          <w:color w:val="auto"/>
          <w:sz w:val="24"/>
        </w:rPr>
      </w:pPr>
    </w:p>
    <w:p>
      <w:pPr>
        <w:tabs>
          <w:tab w:val="left" w:pos="5325"/>
        </w:tabs>
        <w:snapToGrid w:val="0"/>
        <w:spacing w:line="420" w:lineRule="exact"/>
        <w:jc w:val="center"/>
        <w:rPr>
          <w:rFonts w:hint="eastAsia" w:ascii="宋体" w:hAnsi="宋体"/>
          <w:b/>
          <w:color w:val="auto"/>
          <w:sz w:val="36"/>
          <w:szCs w:val="36"/>
        </w:rPr>
      </w:pPr>
    </w:p>
    <w:p>
      <w:pPr>
        <w:tabs>
          <w:tab w:val="left" w:pos="5325"/>
        </w:tabs>
        <w:snapToGrid w:val="0"/>
        <w:spacing w:line="420" w:lineRule="exact"/>
        <w:jc w:val="center"/>
        <w:rPr>
          <w:rFonts w:hint="eastAsia" w:ascii="宋体" w:hAnsi="宋体"/>
          <w:b/>
          <w:color w:val="auto"/>
          <w:sz w:val="36"/>
          <w:szCs w:val="36"/>
        </w:rPr>
      </w:pPr>
      <w:r>
        <w:rPr>
          <w:rFonts w:hint="eastAsia" w:ascii="宋体" w:hAnsi="宋体"/>
          <w:b/>
          <w:color w:val="auto"/>
          <w:sz w:val="36"/>
          <w:szCs w:val="36"/>
        </w:rPr>
        <w:t>第四部分  开标和评标</w:t>
      </w:r>
    </w:p>
    <w:p>
      <w:pPr>
        <w:tabs>
          <w:tab w:val="left" w:pos="3585"/>
        </w:tabs>
        <w:snapToGrid w:val="0"/>
        <w:spacing w:line="420" w:lineRule="exact"/>
        <w:ind w:firstLine="463" w:firstLineChars="192"/>
        <w:rPr>
          <w:rFonts w:hAnsi="宋体"/>
          <w:b/>
          <w:bCs/>
          <w:color w:val="auto"/>
          <w:sz w:val="24"/>
        </w:rPr>
      </w:pPr>
    </w:p>
    <w:p>
      <w:pPr>
        <w:tabs>
          <w:tab w:val="left" w:pos="3585"/>
        </w:tabs>
        <w:snapToGrid w:val="0"/>
        <w:spacing w:line="420" w:lineRule="exact"/>
        <w:ind w:firstLine="581" w:firstLineChars="241"/>
        <w:rPr>
          <w:b/>
          <w:color w:val="auto"/>
          <w:sz w:val="24"/>
        </w:rPr>
      </w:pPr>
      <w:r>
        <w:rPr>
          <w:rFonts w:hAnsi="宋体"/>
          <w:b/>
          <w:bCs/>
          <w:color w:val="auto"/>
          <w:sz w:val="24"/>
        </w:rPr>
        <w:t>一、</w:t>
      </w:r>
      <w:r>
        <w:rPr>
          <w:rFonts w:hAnsi="宋体"/>
          <w:b/>
          <w:color w:val="auto"/>
          <w:sz w:val="24"/>
        </w:rPr>
        <w:t>招标人组织开标。</w:t>
      </w:r>
    </w:p>
    <w:p>
      <w:pPr>
        <w:tabs>
          <w:tab w:val="left" w:pos="3585"/>
        </w:tabs>
        <w:snapToGrid w:val="0"/>
        <w:spacing w:line="420" w:lineRule="exact"/>
        <w:ind w:firstLine="460" w:firstLineChars="192"/>
        <w:rPr>
          <w:color w:val="auto"/>
          <w:sz w:val="24"/>
        </w:rPr>
      </w:pPr>
      <w:r>
        <w:rPr>
          <w:rFonts w:hAnsi="宋体"/>
          <w:color w:val="auto"/>
          <w:sz w:val="24"/>
        </w:rPr>
        <w:t>投标人的法定代表人或授权委托人参加开标会。</w:t>
      </w:r>
    </w:p>
    <w:p>
      <w:pPr>
        <w:snapToGrid w:val="0"/>
        <w:spacing w:line="420" w:lineRule="exact"/>
        <w:ind w:firstLine="570"/>
        <w:rPr>
          <w:bCs/>
          <w:color w:val="auto"/>
          <w:sz w:val="24"/>
        </w:rPr>
      </w:pPr>
      <w:r>
        <w:rPr>
          <w:rFonts w:hAnsi="宋体"/>
          <w:b/>
          <w:bCs/>
          <w:color w:val="auto"/>
          <w:sz w:val="24"/>
        </w:rPr>
        <w:t>二、</w:t>
      </w:r>
      <w:r>
        <w:rPr>
          <w:rFonts w:hAnsi="宋体"/>
          <w:color w:val="auto"/>
          <w:sz w:val="24"/>
        </w:rPr>
        <w:t>评委会由</w:t>
      </w:r>
      <w:r>
        <w:rPr>
          <w:rFonts w:hint="eastAsia" w:hAnsi="宋体"/>
          <w:bCs/>
          <w:color w:val="auto"/>
          <w:sz w:val="24"/>
        </w:rPr>
        <w:t>招标人组织</w:t>
      </w:r>
      <w:r>
        <w:rPr>
          <w:rFonts w:hAnsi="宋体"/>
          <w:color w:val="auto"/>
          <w:sz w:val="24"/>
        </w:rPr>
        <w:t>，对投标文件进行审查、质疑、评估、比较。评委会按照</w:t>
      </w:r>
      <w:r>
        <w:rPr>
          <w:rFonts w:hAnsi="宋体"/>
          <w:bCs/>
          <w:color w:val="auto"/>
          <w:sz w:val="24"/>
        </w:rPr>
        <w:t>公平、公正、择优的原则进行</w:t>
      </w:r>
      <w:r>
        <w:rPr>
          <w:rFonts w:hAnsi="宋体"/>
          <w:color w:val="auto"/>
          <w:sz w:val="24"/>
        </w:rPr>
        <w:t>独立</w:t>
      </w:r>
      <w:r>
        <w:rPr>
          <w:rFonts w:hAnsi="宋体"/>
          <w:bCs/>
          <w:color w:val="auto"/>
          <w:sz w:val="24"/>
        </w:rPr>
        <w:t>评标。</w:t>
      </w:r>
    </w:p>
    <w:p>
      <w:pPr>
        <w:snapToGrid w:val="0"/>
        <w:spacing w:line="420" w:lineRule="exact"/>
        <w:ind w:firstLine="480" w:firstLineChars="200"/>
        <w:rPr>
          <w:color w:val="auto"/>
          <w:sz w:val="24"/>
        </w:rPr>
      </w:pPr>
      <w:r>
        <w:rPr>
          <w:rFonts w:hAnsi="宋体"/>
          <w:color w:val="auto"/>
          <w:sz w:val="24"/>
        </w:rPr>
        <w:t>评委会对投标人的投标资格及有关资质是否符合要求，进行审查后进入评审环节。</w:t>
      </w:r>
    </w:p>
    <w:p>
      <w:pPr>
        <w:snapToGrid w:val="0"/>
        <w:spacing w:line="420" w:lineRule="exact"/>
        <w:ind w:firstLine="482" w:firstLineChars="200"/>
        <w:rPr>
          <w:b/>
          <w:color w:val="auto"/>
          <w:sz w:val="24"/>
        </w:rPr>
      </w:pPr>
      <w:r>
        <w:rPr>
          <w:rFonts w:hAnsi="宋体"/>
          <w:b/>
          <w:color w:val="auto"/>
          <w:sz w:val="24"/>
        </w:rPr>
        <w:t>（一）评审内容</w:t>
      </w:r>
    </w:p>
    <w:p>
      <w:pPr>
        <w:snapToGrid w:val="0"/>
        <w:spacing w:line="420" w:lineRule="exact"/>
        <w:ind w:firstLine="480" w:firstLineChars="200"/>
        <w:rPr>
          <w:color w:val="auto"/>
          <w:sz w:val="24"/>
        </w:rPr>
      </w:pPr>
      <w:r>
        <w:rPr>
          <w:color w:val="auto"/>
          <w:sz w:val="24"/>
        </w:rPr>
        <w:t>1</w:t>
      </w:r>
      <w:r>
        <w:rPr>
          <w:rFonts w:hAnsi="宋体"/>
          <w:color w:val="auto"/>
          <w:sz w:val="24"/>
        </w:rPr>
        <w:t>、要求的保证金是否已提供；</w:t>
      </w:r>
    </w:p>
    <w:p>
      <w:pPr>
        <w:snapToGrid w:val="0"/>
        <w:spacing w:line="420" w:lineRule="exact"/>
        <w:ind w:firstLine="480" w:firstLineChars="200"/>
        <w:rPr>
          <w:color w:val="auto"/>
          <w:sz w:val="24"/>
        </w:rPr>
      </w:pPr>
      <w:r>
        <w:rPr>
          <w:color w:val="auto"/>
          <w:sz w:val="24"/>
        </w:rPr>
        <w:t>2、投标资格是否符合；</w:t>
      </w:r>
    </w:p>
    <w:p>
      <w:pPr>
        <w:snapToGrid w:val="0"/>
        <w:spacing w:line="420" w:lineRule="exact"/>
        <w:ind w:firstLine="480" w:firstLineChars="200"/>
        <w:rPr>
          <w:color w:val="auto"/>
          <w:sz w:val="24"/>
        </w:rPr>
      </w:pPr>
      <w:r>
        <w:rPr>
          <w:color w:val="auto"/>
          <w:sz w:val="24"/>
        </w:rPr>
        <w:t>3</w:t>
      </w:r>
      <w:r>
        <w:rPr>
          <w:rFonts w:hAnsi="宋体"/>
          <w:color w:val="auto"/>
          <w:sz w:val="24"/>
        </w:rPr>
        <w:t>、投标文件是否完整；</w:t>
      </w:r>
    </w:p>
    <w:p>
      <w:pPr>
        <w:snapToGrid w:val="0"/>
        <w:spacing w:line="420" w:lineRule="exact"/>
        <w:ind w:firstLine="480" w:firstLineChars="200"/>
        <w:rPr>
          <w:color w:val="auto"/>
          <w:sz w:val="24"/>
        </w:rPr>
      </w:pPr>
      <w:r>
        <w:rPr>
          <w:color w:val="auto"/>
          <w:sz w:val="24"/>
        </w:rPr>
        <w:t>4</w:t>
      </w:r>
      <w:r>
        <w:rPr>
          <w:rFonts w:hAnsi="宋体"/>
          <w:color w:val="auto"/>
          <w:sz w:val="24"/>
        </w:rPr>
        <w:t>、投标文件是否恰当签署；</w:t>
      </w:r>
    </w:p>
    <w:p>
      <w:pPr>
        <w:snapToGrid w:val="0"/>
        <w:spacing w:line="420" w:lineRule="exact"/>
        <w:ind w:firstLine="480" w:firstLineChars="200"/>
        <w:rPr>
          <w:b/>
          <w:color w:val="auto"/>
          <w:sz w:val="24"/>
        </w:rPr>
      </w:pPr>
      <w:r>
        <w:rPr>
          <w:color w:val="auto"/>
          <w:sz w:val="24"/>
        </w:rPr>
        <w:t>5</w:t>
      </w:r>
      <w:r>
        <w:rPr>
          <w:rFonts w:hAnsi="宋体"/>
          <w:color w:val="auto"/>
          <w:sz w:val="24"/>
        </w:rPr>
        <w:t>、是否作出实质性响应（</w:t>
      </w:r>
      <w:r>
        <w:rPr>
          <w:rFonts w:hAnsi="宋体"/>
          <w:b/>
          <w:color w:val="auto"/>
          <w:sz w:val="24"/>
        </w:rPr>
        <w:t>是否有实质性响应，只根据投标文件本身，而不寻求外部证据）；</w:t>
      </w:r>
    </w:p>
    <w:p>
      <w:pPr>
        <w:snapToGrid w:val="0"/>
        <w:spacing w:line="420" w:lineRule="exact"/>
        <w:ind w:firstLine="480" w:firstLineChars="200"/>
        <w:rPr>
          <w:color w:val="auto"/>
          <w:sz w:val="24"/>
        </w:rPr>
      </w:pPr>
      <w:r>
        <w:rPr>
          <w:color w:val="auto"/>
          <w:sz w:val="24"/>
        </w:rPr>
        <w:t>6</w:t>
      </w:r>
      <w:r>
        <w:rPr>
          <w:rFonts w:hAnsi="宋体"/>
          <w:color w:val="auto"/>
          <w:sz w:val="24"/>
        </w:rPr>
        <w:t>、是否有计算错误。</w:t>
      </w:r>
    </w:p>
    <w:p>
      <w:pPr>
        <w:snapToGrid w:val="0"/>
        <w:spacing w:line="420" w:lineRule="exact"/>
        <w:ind w:firstLine="482" w:firstLineChars="200"/>
        <w:rPr>
          <w:b/>
          <w:bCs/>
          <w:color w:val="auto"/>
          <w:sz w:val="24"/>
        </w:rPr>
      </w:pPr>
      <w:r>
        <w:rPr>
          <w:rFonts w:hAnsi="宋体"/>
          <w:b/>
          <w:bCs/>
          <w:color w:val="auto"/>
          <w:sz w:val="24"/>
        </w:rPr>
        <w:t>（二）相应的规定</w:t>
      </w:r>
    </w:p>
    <w:p>
      <w:pPr>
        <w:snapToGrid w:val="0"/>
        <w:spacing w:line="420" w:lineRule="exact"/>
        <w:ind w:firstLine="480" w:firstLineChars="200"/>
        <w:rPr>
          <w:color w:val="auto"/>
          <w:sz w:val="24"/>
        </w:rPr>
      </w:pPr>
      <w:r>
        <w:rPr>
          <w:bCs/>
          <w:color w:val="auto"/>
          <w:sz w:val="24"/>
        </w:rPr>
        <w:t>1</w:t>
      </w:r>
      <w:r>
        <w:rPr>
          <w:rFonts w:hAnsi="宋体"/>
          <w:bCs/>
          <w:color w:val="auto"/>
          <w:sz w:val="24"/>
        </w:rPr>
        <w:t>、</w:t>
      </w:r>
      <w:r>
        <w:rPr>
          <w:rFonts w:hAnsi="宋体"/>
          <w:color w:val="auto"/>
          <w:sz w:val="24"/>
        </w:rPr>
        <w:t>如果单价汇总金额与总价金额有出入，以单价金额计算结果为准；</w:t>
      </w:r>
    </w:p>
    <w:p>
      <w:pPr>
        <w:snapToGrid w:val="0"/>
        <w:spacing w:line="420" w:lineRule="exact"/>
        <w:ind w:firstLine="480" w:firstLineChars="200"/>
        <w:rPr>
          <w:color w:val="auto"/>
          <w:sz w:val="24"/>
        </w:rPr>
      </w:pPr>
      <w:r>
        <w:rPr>
          <w:color w:val="auto"/>
          <w:sz w:val="24"/>
        </w:rPr>
        <w:t>2</w:t>
      </w:r>
      <w:r>
        <w:rPr>
          <w:rFonts w:hAnsi="宋体"/>
          <w:color w:val="auto"/>
          <w:sz w:val="24"/>
        </w:rPr>
        <w:t>、单价金额小数点有明显错位的，应以总价为准；</w:t>
      </w:r>
    </w:p>
    <w:p>
      <w:pPr>
        <w:snapToGrid w:val="0"/>
        <w:spacing w:line="420" w:lineRule="exact"/>
        <w:ind w:firstLine="480" w:firstLineChars="200"/>
        <w:rPr>
          <w:color w:val="auto"/>
          <w:sz w:val="24"/>
        </w:rPr>
      </w:pPr>
      <w:r>
        <w:rPr>
          <w:color w:val="auto"/>
          <w:sz w:val="24"/>
        </w:rPr>
        <w:t>3</w:t>
      </w:r>
      <w:r>
        <w:rPr>
          <w:rFonts w:hAnsi="宋体"/>
          <w:color w:val="auto"/>
          <w:sz w:val="24"/>
        </w:rPr>
        <w:t>、正本与副本有矛盾的，以正本为准；</w:t>
      </w:r>
    </w:p>
    <w:p>
      <w:pPr>
        <w:snapToGrid w:val="0"/>
        <w:spacing w:line="420" w:lineRule="exact"/>
        <w:ind w:firstLine="480" w:firstLineChars="200"/>
        <w:rPr>
          <w:color w:val="auto"/>
          <w:sz w:val="24"/>
        </w:rPr>
      </w:pPr>
      <w:r>
        <w:rPr>
          <w:color w:val="auto"/>
          <w:sz w:val="24"/>
        </w:rPr>
        <w:t>4</w:t>
      </w:r>
      <w:r>
        <w:rPr>
          <w:rFonts w:hAnsi="宋体"/>
          <w:color w:val="auto"/>
          <w:sz w:val="24"/>
        </w:rPr>
        <w:t>、若文件大写表示的数据与数字表示的有差别，以大写表示的数据为准。</w:t>
      </w:r>
    </w:p>
    <w:p>
      <w:pPr>
        <w:tabs>
          <w:tab w:val="left" w:pos="3585"/>
        </w:tabs>
        <w:snapToGrid w:val="0"/>
        <w:spacing w:line="420" w:lineRule="exact"/>
        <w:ind w:firstLine="482" w:firstLineChars="200"/>
        <w:rPr>
          <w:b/>
          <w:bCs/>
          <w:color w:val="auto"/>
          <w:sz w:val="24"/>
        </w:rPr>
      </w:pPr>
      <w:r>
        <w:rPr>
          <w:rFonts w:hAnsi="宋体"/>
          <w:b/>
          <w:bCs/>
          <w:color w:val="auto"/>
          <w:sz w:val="24"/>
        </w:rPr>
        <w:t>三、</w:t>
      </w:r>
      <w:r>
        <w:rPr>
          <w:rFonts w:hAnsi="宋体"/>
          <w:b/>
          <w:color w:val="auto"/>
          <w:sz w:val="24"/>
        </w:rPr>
        <w:t>陈述、演示、</w:t>
      </w:r>
      <w:r>
        <w:rPr>
          <w:rFonts w:hAnsi="宋体"/>
          <w:b/>
          <w:bCs/>
          <w:color w:val="auto"/>
          <w:sz w:val="24"/>
        </w:rPr>
        <w:t>答疑、澄清</w:t>
      </w:r>
    </w:p>
    <w:p>
      <w:pPr>
        <w:snapToGrid w:val="0"/>
        <w:spacing w:line="420" w:lineRule="exact"/>
        <w:ind w:firstLine="570"/>
        <w:rPr>
          <w:b/>
          <w:color w:val="auto"/>
          <w:sz w:val="24"/>
        </w:rPr>
      </w:pPr>
      <w:r>
        <w:rPr>
          <w:rFonts w:hAnsi="宋体"/>
          <w:color w:val="auto"/>
          <w:sz w:val="24"/>
          <w:shd w:val="clear" w:color="auto" w:fill="FFFFFF"/>
        </w:rPr>
        <w:t>如评委会认为有必要，投标人按评委会的要求作陈述、演示、</w:t>
      </w:r>
      <w:r>
        <w:rPr>
          <w:rFonts w:hAnsi="宋体"/>
          <w:color w:val="auto"/>
          <w:sz w:val="24"/>
        </w:rPr>
        <w:t>答疑及澄清其投标内容。时间由评委会掌握。</w:t>
      </w:r>
    </w:p>
    <w:p>
      <w:pPr>
        <w:snapToGrid w:val="0"/>
        <w:spacing w:line="420" w:lineRule="exact"/>
        <w:ind w:firstLine="570"/>
        <w:rPr>
          <w:color w:val="auto"/>
          <w:sz w:val="24"/>
        </w:rPr>
      </w:pPr>
      <w:r>
        <w:rPr>
          <w:rFonts w:hAnsi="宋体"/>
          <w:color w:val="auto"/>
          <w:sz w:val="24"/>
        </w:rPr>
        <w:t>重要澄清答复应是书面的，但不得对投标内容进行实质性修改。</w:t>
      </w:r>
    </w:p>
    <w:p>
      <w:pPr>
        <w:snapToGrid w:val="0"/>
        <w:spacing w:line="420" w:lineRule="exact"/>
        <w:ind w:firstLine="482" w:firstLineChars="200"/>
        <w:rPr>
          <w:b/>
          <w:color w:val="auto"/>
          <w:sz w:val="24"/>
        </w:rPr>
      </w:pPr>
      <w:r>
        <w:rPr>
          <w:rFonts w:hAnsi="宋体"/>
          <w:b/>
          <w:color w:val="auto"/>
          <w:sz w:val="24"/>
        </w:rPr>
        <w:t>四、出现下列情形之一的，作无效投标处理</w:t>
      </w:r>
    </w:p>
    <w:p>
      <w:pPr>
        <w:snapToGrid w:val="0"/>
        <w:spacing w:line="420" w:lineRule="exact"/>
        <w:ind w:firstLine="570"/>
        <w:rPr>
          <w:color w:val="auto"/>
          <w:sz w:val="24"/>
        </w:rPr>
      </w:pPr>
      <w:r>
        <w:rPr>
          <w:color w:val="auto"/>
          <w:sz w:val="24"/>
        </w:rPr>
        <w:t>1、</w:t>
      </w:r>
      <w:r>
        <w:rPr>
          <w:rFonts w:hAnsi="宋体"/>
          <w:color w:val="auto"/>
          <w:sz w:val="24"/>
        </w:rPr>
        <w:t>未按照招标文件规定要求装订、密封、签署、盖章的；</w:t>
      </w:r>
    </w:p>
    <w:p>
      <w:pPr>
        <w:snapToGrid w:val="0"/>
        <w:spacing w:line="420" w:lineRule="exact"/>
        <w:ind w:firstLine="570"/>
        <w:rPr>
          <w:color w:val="auto"/>
          <w:sz w:val="24"/>
        </w:rPr>
      </w:pPr>
      <w:r>
        <w:rPr>
          <w:color w:val="auto"/>
          <w:sz w:val="24"/>
        </w:rPr>
        <w:t>2</w:t>
      </w:r>
      <w:r>
        <w:rPr>
          <w:rFonts w:hAnsi="宋体"/>
          <w:color w:val="auto"/>
          <w:sz w:val="24"/>
        </w:rPr>
        <w:t>、不具备招标文件中规定的资格要求的；</w:t>
      </w:r>
    </w:p>
    <w:p>
      <w:pPr>
        <w:snapToGrid w:val="0"/>
        <w:spacing w:line="420" w:lineRule="exact"/>
        <w:ind w:firstLine="570"/>
        <w:rPr>
          <w:color w:val="auto"/>
          <w:sz w:val="24"/>
        </w:rPr>
      </w:pPr>
      <w:r>
        <w:rPr>
          <w:color w:val="auto"/>
          <w:sz w:val="24"/>
        </w:rPr>
        <w:t>3</w:t>
      </w:r>
      <w:r>
        <w:rPr>
          <w:rFonts w:hAnsi="宋体"/>
          <w:color w:val="auto"/>
          <w:sz w:val="24"/>
        </w:rPr>
        <w:t>、投标报价</w:t>
      </w:r>
      <w:r>
        <w:rPr>
          <w:rFonts w:hint="eastAsia" w:hAnsi="宋体"/>
          <w:color w:val="auto"/>
          <w:sz w:val="24"/>
        </w:rPr>
        <w:t>高于采购预算价或</w:t>
      </w:r>
      <w:r>
        <w:rPr>
          <w:rFonts w:hAnsi="宋体"/>
          <w:color w:val="auto"/>
          <w:sz w:val="24"/>
        </w:rPr>
        <w:t>最高限价的；</w:t>
      </w:r>
    </w:p>
    <w:p>
      <w:pPr>
        <w:snapToGrid w:val="0"/>
        <w:spacing w:line="420" w:lineRule="exact"/>
        <w:ind w:firstLine="570"/>
        <w:rPr>
          <w:color w:val="auto"/>
          <w:sz w:val="24"/>
        </w:rPr>
      </w:pPr>
      <w:r>
        <w:rPr>
          <w:color w:val="auto"/>
          <w:sz w:val="24"/>
        </w:rPr>
        <w:t>4</w:t>
      </w:r>
      <w:r>
        <w:rPr>
          <w:rFonts w:hAnsi="宋体"/>
          <w:color w:val="auto"/>
          <w:sz w:val="24"/>
        </w:rPr>
        <w:t>、不符合法律、法规和招标文件中规定的其他实质性要求的。</w:t>
      </w:r>
    </w:p>
    <w:p>
      <w:pPr>
        <w:snapToGrid w:val="0"/>
        <w:spacing w:line="420" w:lineRule="exact"/>
        <w:ind w:firstLine="570"/>
        <w:rPr>
          <w:b/>
          <w:color w:val="auto"/>
          <w:sz w:val="24"/>
        </w:rPr>
      </w:pPr>
      <w:r>
        <w:rPr>
          <w:rFonts w:hAnsi="宋体"/>
          <w:b/>
          <w:color w:val="auto"/>
          <w:sz w:val="24"/>
        </w:rPr>
        <w:t>五、出现下列情形之一的，作废标处理</w:t>
      </w:r>
    </w:p>
    <w:p>
      <w:pPr>
        <w:snapToGrid w:val="0"/>
        <w:spacing w:line="420" w:lineRule="exact"/>
        <w:ind w:firstLine="570"/>
        <w:rPr>
          <w:color w:val="auto"/>
          <w:sz w:val="24"/>
        </w:rPr>
      </w:pPr>
      <w:r>
        <w:rPr>
          <w:color w:val="auto"/>
          <w:sz w:val="24"/>
        </w:rPr>
        <w:t>1</w:t>
      </w:r>
      <w:r>
        <w:rPr>
          <w:rFonts w:hAnsi="宋体"/>
          <w:color w:val="auto"/>
          <w:sz w:val="24"/>
        </w:rPr>
        <w:t>、符合专业条件的投标人或者对招标文件作实质响应的投标人不足</w:t>
      </w:r>
      <w:r>
        <w:rPr>
          <w:color w:val="auto"/>
          <w:sz w:val="24"/>
        </w:rPr>
        <w:t>3</w:t>
      </w:r>
      <w:r>
        <w:rPr>
          <w:rFonts w:hAnsi="宋体"/>
          <w:color w:val="auto"/>
          <w:sz w:val="24"/>
        </w:rPr>
        <w:t>家的；</w:t>
      </w:r>
    </w:p>
    <w:p>
      <w:pPr>
        <w:snapToGrid w:val="0"/>
        <w:spacing w:line="420" w:lineRule="exact"/>
        <w:ind w:firstLine="555"/>
        <w:rPr>
          <w:color w:val="auto"/>
          <w:sz w:val="24"/>
        </w:rPr>
      </w:pPr>
      <w:r>
        <w:rPr>
          <w:color w:val="auto"/>
          <w:sz w:val="24"/>
        </w:rPr>
        <w:t>2</w:t>
      </w:r>
      <w:r>
        <w:rPr>
          <w:rFonts w:hAnsi="宋体"/>
          <w:color w:val="auto"/>
          <w:sz w:val="24"/>
        </w:rPr>
        <w:t>、出现影响采购公正的违法违规行为的；</w:t>
      </w:r>
    </w:p>
    <w:p>
      <w:pPr>
        <w:snapToGrid w:val="0"/>
        <w:spacing w:line="420" w:lineRule="exact"/>
        <w:ind w:firstLine="555"/>
        <w:rPr>
          <w:color w:val="auto"/>
          <w:sz w:val="24"/>
        </w:rPr>
      </w:pPr>
      <w:r>
        <w:rPr>
          <w:color w:val="auto"/>
          <w:sz w:val="24"/>
        </w:rPr>
        <w:t>3</w:t>
      </w:r>
      <w:r>
        <w:rPr>
          <w:rFonts w:hAnsi="宋体"/>
          <w:color w:val="auto"/>
          <w:sz w:val="24"/>
        </w:rPr>
        <w:t>、投标人的报价均</w:t>
      </w:r>
      <w:r>
        <w:rPr>
          <w:rFonts w:hint="eastAsia" w:hAnsi="宋体"/>
          <w:color w:val="auto"/>
          <w:sz w:val="24"/>
        </w:rPr>
        <w:t>高于采购预算价或最高限价的</w:t>
      </w:r>
      <w:r>
        <w:rPr>
          <w:rFonts w:hAnsi="宋体"/>
          <w:color w:val="auto"/>
          <w:sz w:val="24"/>
        </w:rPr>
        <w:t>；</w:t>
      </w:r>
    </w:p>
    <w:p>
      <w:pPr>
        <w:snapToGrid w:val="0"/>
        <w:spacing w:line="420" w:lineRule="exact"/>
        <w:ind w:firstLine="555"/>
        <w:rPr>
          <w:color w:val="auto"/>
          <w:sz w:val="24"/>
        </w:rPr>
      </w:pPr>
      <w:r>
        <w:rPr>
          <w:color w:val="auto"/>
          <w:sz w:val="24"/>
        </w:rPr>
        <w:t>4</w:t>
      </w:r>
      <w:r>
        <w:rPr>
          <w:rFonts w:hAnsi="宋体"/>
          <w:color w:val="auto"/>
          <w:sz w:val="24"/>
        </w:rPr>
        <w:t>、因重大变故，采购任务取消的。</w:t>
      </w:r>
    </w:p>
    <w:p>
      <w:pPr>
        <w:snapToGrid w:val="0"/>
        <w:spacing w:line="420" w:lineRule="exact"/>
        <w:ind w:firstLine="555"/>
        <w:rPr>
          <w:color w:val="auto"/>
          <w:sz w:val="24"/>
        </w:rPr>
      </w:pPr>
      <w:r>
        <w:rPr>
          <w:rFonts w:hAnsi="宋体"/>
          <w:color w:val="auto"/>
          <w:sz w:val="24"/>
        </w:rPr>
        <w:t>上述均保留评委会认定可以确定为无效投标或废标的其他情况。</w:t>
      </w:r>
    </w:p>
    <w:p>
      <w:pPr>
        <w:snapToGrid w:val="0"/>
        <w:spacing w:line="420" w:lineRule="exact"/>
        <w:ind w:firstLine="555"/>
        <w:rPr>
          <w:rFonts w:ascii="宋体" w:hAnsi="宋体" w:cs="宋体"/>
          <w:color w:val="auto"/>
          <w:sz w:val="24"/>
          <w:lang w:val="zh-CN"/>
        </w:rPr>
      </w:pPr>
      <w:r>
        <w:rPr>
          <w:rFonts w:hAnsi="宋体"/>
          <w:b/>
          <w:color w:val="auto"/>
          <w:sz w:val="24"/>
        </w:rPr>
        <w:t>六</w:t>
      </w:r>
      <w:r>
        <w:rPr>
          <w:rFonts w:hAnsi="宋体"/>
          <w:color w:val="auto"/>
          <w:sz w:val="24"/>
        </w:rPr>
        <w:t>、</w:t>
      </w:r>
      <w:r>
        <w:rPr>
          <w:rFonts w:hAnsi="宋体"/>
          <w:b/>
          <w:color w:val="auto"/>
          <w:sz w:val="24"/>
        </w:rPr>
        <w:t>评标方法</w:t>
      </w:r>
    </w:p>
    <w:p>
      <w:pPr>
        <w:autoSpaceDE w:val="0"/>
        <w:autoSpaceDN w:val="0"/>
        <w:adjustRightInd w:val="0"/>
        <w:snapToGrid w:val="0"/>
        <w:spacing w:line="420" w:lineRule="exact"/>
        <w:ind w:firstLine="480" w:firstLineChars="200"/>
        <w:rPr>
          <w:rFonts w:hint="eastAsia" w:ascii="宋体" w:hAnsi="宋体" w:cs="宋体"/>
          <w:sz w:val="24"/>
        </w:rPr>
      </w:pPr>
      <w:r>
        <w:rPr>
          <w:rFonts w:hint="eastAsia" w:ascii="宋体" w:hAnsi="宋体" w:cs="宋体"/>
          <w:color w:val="auto"/>
          <w:sz w:val="24"/>
        </w:rPr>
        <w:t>采用综合评分法。分资格审查、商务技术标、价格标三部分评审，资格</w:t>
      </w:r>
      <w:r>
        <w:rPr>
          <w:rFonts w:hint="eastAsia" w:ascii="宋体" w:hAnsi="宋体" w:cs="宋体"/>
          <w:sz w:val="24"/>
        </w:rPr>
        <w:t>审查为符合性评审，商务技术标、价格标总分值为100分。</w:t>
      </w:r>
    </w:p>
    <w:p>
      <w:pPr>
        <w:autoSpaceDE w:val="0"/>
        <w:autoSpaceDN w:val="0"/>
        <w:adjustRightInd w:val="0"/>
        <w:snapToGrid w:val="0"/>
        <w:spacing w:line="420" w:lineRule="exact"/>
        <w:ind w:firstLine="480" w:firstLineChars="200"/>
        <w:rPr>
          <w:rFonts w:hint="eastAsia" w:ascii="宋体" w:hAnsi="宋体" w:cs="宋体"/>
          <w:sz w:val="24"/>
        </w:rPr>
      </w:pPr>
      <w:r>
        <w:rPr>
          <w:rFonts w:hint="eastAsia" w:ascii="宋体" w:hAnsi="宋体" w:cs="宋体"/>
          <w:sz w:val="24"/>
        </w:rPr>
        <w:t>首先评审资格审查，资格审查通过后方可进入商务技术标评审，待商务技术标评审结束后，再开启价格标。</w:t>
      </w:r>
    </w:p>
    <w:p>
      <w:pPr>
        <w:tabs>
          <w:tab w:val="left" w:pos="5325"/>
        </w:tabs>
        <w:snapToGrid w:val="0"/>
        <w:spacing w:line="420" w:lineRule="exact"/>
        <w:ind w:firstLine="482" w:firstLineChars="200"/>
        <w:rPr>
          <w:b/>
          <w:sz w:val="24"/>
          <w:highlight w:val="none"/>
        </w:rPr>
      </w:pPr>
      <w:r>
        <w:rPr>
          <w:rFonts w:hint="eastAsia"/>
          <w:b/>
          <w:sz w:val="24"/>
          <w:highlight w:val="none"/>
        </w:rPr>
        <w:t>本项目分四个标段，开标顺序为一标段—二标段—三标段—四标段，投标人可参与一个或多个标段的投标，均可兼中。</w:t>
      </w:r>
    </w:p>
    <w:p>
      <w:pPr>
        <w:spacing w:line="360" w:lineRule="auto"/>
        <w:ind w:firstLine="482" w:firstLineChars="200"/>
        <w:rPr>
          <w:rFonts w:hint="eastAsia" w:ascii="宋体" w:hAnsi="宋体"/>
          <w:b/>
          <w:sz w:val="24"/>
          <w:highlight w:val="none"/>
        </w:rPr>
      </w:pPr>
      <w:r>
        <w:rPr>
          <w:rFonts w:hint="eastAsia" w:ascii="宋体" w:hAnsi="宋体" w:cs="宋体"/>
          <w:b/>
          <w:bCs/>
          <w:sz w:val="24"/>
          <w:highlight w:val="none"/>
        </w:rPr>
        <w:t>(一)</w:t>
      </w:r>
      <w:r>
        <w:rPr>
          <w:rFonts w:ascii="宋体" w:hAnsi="宋体"/>
          <w:b/>
          <w:sz w:val="24"/>
          <w:highlight w:val="none"/>
        </w:rPr>
        <w:t xml:space="preserve"> </w:t>
      </w:r>
      <w:r>
        <w:rPr>
          <w:rFonts w:hint="eastAsia" w:ascii="宋体" w:hAnsi="宋体"/>
          <w:b/>
          <w:sz w:val="24"/>
          <w:highlight w:val="none"/>
        </w:rPr>
        <w:t>一标段（网球）</w:t>
      </w:r>
    </w:p>
    <w:p>
      <w:pPr>
        <w:spacing w:line="360" w:lineRule="auto"/>
        <w:ind w:firstLine="482" w:firstLineChars="200"/>
        <w:rPr>
          <w:rFonts w:hint="eastAsia" w:ascii="宋体" w:hAnsi="宋体"/>
          <w:b/>
          <w:sz w:val="24"/>
          <w:highlight w:val="none"/>
        </w:rPr>
      </w:pPr>
      <w:r>
        <w:rPr>
          <w:rFonts w:hint="eastAsia" w:ascii="宋体" w:hAnsi="宋体"/>
          <w:b/>
          <w:sz w:val="24"/>
          <w:highlight w:val="none"/>
        </w:rPr>
        <w:t>1、技术标（80分）</w:t>
      </w:r>
    </w:p>
    <w:tbl>
      <w:tblPr>
        <w:tblStyle w:val="7"/>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7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760" w:type="dxa"/>
            <w:vMerge w:val="restart"/>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师资力量</w:t>
            </w:r>
            <w:r>
              <w:rPr>
                <w:rFonts w:ascii="宋体" w:hAnsi="宋体"/>
                <w:color w:val="auto"/>
                <w:kern w:val="0"/>
                <w:sz w:val="24"/>
                <w:highlight w:val="none"/>
              </w:rPr>
              <w:br w:type="textWrapping"/>
            </w:r>
            <w:r>
              <w:rPr>
                <w:rFonts w:ascii="宋体" w:hAnsi="宋体"/>
                <w:color w:val="auto"/>
                <w:kern w:val="0"/>
                <w:sz w:val="24"/>
                <w:highlight w:val="none"/>
              </w:rPr>
              <w:t>（33分）</w:t>
            </w: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教练员有中国网球协会教练员证书或者等级评定员证书的，每有1名得5分，最多得15分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教练员有国家级网球运动员证书的，每有一名得4分，最多得8分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教练团队中有国家队官方网球技术指导、专业组成员的得5分，最多得5分</w:t>
            </w:r>
            <w:r>
              <w:rPr>
                <w:rFonts w:hint="eastAsia" w:ascii="宋体" w:hAnsi="宋体"/>
                <w:color w:val="auto"/>
                <w:kern w:val="0"/>
                <w:sz w:val="24"/>
                <w:highlight w:val="none"/>
              </w:rPr>
              <w:t>，提供与投标人签订劳动合同、相关证明资料复印件，否则不得分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拥有体育局认定体适能证书的专业体能团队得5分，最多得5分</w:t>
            </w:r>
            <w:r>
              <w:rPr>
                <w:rFonts w:hint="eastAsia" w:ascii="宋体" w:hAnsi="宋体"/>
                <w:color w:val="auto"/>
                <w:kern w:val="0"/>
                <w:sz w:val="24"/>
                <w:highlight w:val="none"/>
              </w:rPr>
              <w:t>，提供相关证书原件的复印件，否则不得分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760" w:type="dxa"/>
            <w:vMerge w:val="restart"/>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教学成果</w:t>
            </w:r>
            <w:r>
              <w:rPr>
                <w:rFonts w:ascii="宋体" w:hAnsi="宋体"/>
                <w:color w:val="auto"/>
                <w:kern w:val="0"/>
                <w:sz w:val="24"/>
                <w:highlight w:val="none"/>
              </w:rPr>
              <w:br w:type="textWrapping"/>
            </w:r>
            <w:r>
              <w:rPr>
                <w:rFonts w:ascii="宋体" w:hAnsi="宋体"/>
                <w:color w:val="auto"/>
                <w:kern w:val="0"/>
                <w:sz w:val="24"/>
                <w:highlight w:val="none"/>
              </w:rPr>
              <w:t>（20分）</w:t>
            </w: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学员在近三年</w:t>
            </w:r>
            <w:r>
              <w:rPr>
                <w:rFonts w:hint="eastAsia" w:ascii="宋体" w:hAnsi="宋体"/>
                <w:color w:val="auto"/>
                <w:kern w:val="0"/>
                <w:sz w:val="24"/>
                <w:highlight w:val="none"/>
              </w:rPr>
              <w:t>（2019年1月至今）</w:t>
            </w:r>
            <w:r>
              <w:rPr>
                <w:rFonts w:ascii="宋体" w:hAnsi="宋体"/>
                <w:color w:val="auto"/>
                <w:kern w:val="0"/>
                <w:sz w:val="24"/>
                <w:highlight w:val="none"/>
              </w:rPr>
              <w:t>江苏省青少年网球排名赛中取得冠军的得8分，取得亚军的得5分，取得季军的得2分，不同年份可累计得分；</w:t>
            </w:r>
            <w:r>
              <w:rPr>
                <w:rFonts w:hint="eastAsia" w:ascii="宋体" w:hAnsi="宋体"/>
                <w:color w:val="auto"/>
                <w:kern w:val="0"/>
                <w:sz w:val="24"/>
                <w:highlight w:val="none"/>
              </w:rPr>
              <w:t>提供学员与投标人培训协议及获奖证书原件的复印件，否则不得分；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学员在近三年</w:t>
            </w:r>
            <w:r>
              <w:rPr>
                <w:rFonts w:hint="eastAsia" w:ascii="宋体" w:hAnsi="宋体"/>
                <w:color w:val="auto"/>
                <w:kern w:val="0"/>
                <w:sz w:val="24"/>
                <w:highlight w:val="none"/>
              </w:rPr>
              <w:t>（2019年1月至今）</w:t>
            </w:r>
            <w:r>
              <w:rPr>
                <w:rFonts w:ascii="宋体" w:hAnsi="宋体"/>
                <w:color w:val="auto"/>
                <w:kern w:val="0"/>
                <w:sz w:val="24"/>
                <w:highlight w:val="none"/>
              </w:rPr>
              <w:t>省运会网球比赛中取得冠军的得8分，取得亚军的得5分，取得季军的得2分，不同年份可累计得分；</w:t>
            </w:r>
            <w:r>
              <w:rPr>
                <w:rFonts w:hint="eastAsia" w:ascii="宋体" w:hAnsi="宋体"/>
                <w:color w:val="auto"/>
                <w:kern w:val="0"/>
                <w:sz w:val="24"/>
                <w:highlight w:val="none"/>
              </w:rPr>
              <w:t>提供学员与投标人培训协议及获奖证书原件的复印件，否则不得分；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学员在近三年</w:t>
            </w:r>
            <w:r>
              <w:rPr>
                <w:rFonts w:hint="eastAsia" w:ascii="宋体" w:hAnsi="宋体"/>
                <w:color w:val="auto"/>
                <w:kern w:val="0"/>
                <w:sz w:val="24"/>
                <w:highlight w:val="none"/>
              </w:rPr>
              <w:t>（2019年1月至今）</w:t>
            </w:r>
            <w:r>
              <w:rPr>
                <w:rFonts w:ascii="宋体" w:hAnsi="宋体"/>
                <w:color w:val="auto"/>
                <w:kern w:val="0"/>
                <w:sz w:val="24"/>
                <w:highlight w:val="none"/>
              </w:rPr>
              <w:t>省网球锦标赛中取得冠军得4分，取得亚军的得2分，取得季军的得1分，不同年份可累计得分；</w:t>
            </w:r>
            <w:r>
              <w:rPr>
                <w:rFonts w:hint="eastAsia" w:ascii="宋体" w:hAnsi="宋体"/>
                <w:color w:val="auto"/>
                <w:kern w:val="0"/>
                <w:sz w:val="24"/>
                <w:highlight w:val="none"/>
              </w:rPr>
              <w:t>提供学员与投标人培训协议及获奖证书原件的复印件，否则不得分；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1760" w:type="dxa"/>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未来规划</w:t>
            </w:r>
            <w:r>
              <w:rPr>
                <w:rFonts w:ascii="宋体" w:hAnsi="宋体"/>
                <w:color w:val="auto"/>
                <w:kern w:val="0"/>
                <w:sz w:val="24"/>
                <w:highlight w:val="none"/>
              </w:rPr>
              <w:br w:type="textWrapping"/>
            </w:r>
            <w:r>
              <w:rPr>
                <w:rFonts w:ascii="宋体" w:hAnsi="宋体"/>
                <w:color w:val="auto"/>
                <w:kern w:val="0"/>
                <w:sz w:val="24"/>
                <w:highlight w:val="none"/>
              </w:rPr>
              <w:t>（12分）</w:t>
            </w:r>
          </w:p>
        </w:tc>
        <w:tc>
          <w:tcPr>
            <w:tcW w:w="7252"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包括但不限于项目在健身中心未来的发展规划、活动开展计划等方案</w:t>
            </w:r>
            <w:r>
              <w:rPr>
                <w:rFonts w:ascii="宋体" w:hAnsi="宋体"/>
                <w:color w:val="auto"/>
                <w:kern w:val="0"/>
                <w:sz w:val="24"/>
                <w:highlight w:val="none"/>
              </w:rPr>
              <w:br w:type="textWrapping"/>
            </w:r>
            <w:r>
              <w:rPr>
                <w:rFonts w:ascii="宋体" w:hAnsi="宋体"/>
                <w:color w:val="auto"/>
                <w:kern w:val="0"/>
                <w:sz w:val="24"/>
                <w:highlight w:val="none"/>
              </w:rPr>
              <w:t>方案详实切合实际，落地可操作性强，得9—12分；</w:t>
            </w:r>
          </w:p>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方案部分详实或部分落地可操作性强，得5—8分；</w:t>
            </w:r>
          </w:p>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方案阐述不够完整、不够合理可行、可操作性较弱，得0—4分。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760" w:type="dxa"/>
            <w:vMerge w:val="restart"/>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其他条件</w:t>
            </w:r>
            <w:r>
              <w:rPr>
                <w:rFonts w:ascii="宋体" w:hAnsi="宋体"/>
                <w:color w:val="auto"/>
                <w:kern w:val="0"/>
                <w:sz w:val="24"/>
                <w:highlight w:val="none"/>
              </w:rPr>
              <w:br w:type="textWrapping"/>
            </w:r>
            <w:r>
              <w:rPr>
                <w:rFonts w:ascii="宋体" w:hAnsi="宋体"/>
                <w:color w:val="auto"/>
                <w:kern w:val="0"/>
                <w:sz w:val="24"/>
                <w:highlight w:val="none"/>
              </w:rPr>
              <w:t>（15分）</w:t>
            </w:r>
          </w:p>
        </w:tc>
        <w:tc>
          <w:tcPr>
            <w:tcW w:w="7252" w:type="dxa"/>
            <w:noWrap w:val="0"/>
            <w:vAlign w:val="center"/>
          </w:tcPr>
          <w:p>
            <w:pPr>
              <w:widowControl/>
              <w:adjustRightInd w:val="0"/>
              <w:snapToGrid w:val="0"/>
              <w:spacing w:line="420" w:lineRule="exact"/>
              <w:jc w:val="left"/>
              <w:rPr>
                <w:rFonts w:ascii="宋体" w:hAnsi="宋体"/>
                <w:color w:val="auto"/>
                <w:kern w:val="0"/>
                <w:sz w:val="24"/>
                <w:highlight w:val="none"/>
              </w:rPr>
            </w:pPr>
            <w:r>
              <w:rPr>
                <w:rFonts w:ascii="宋体" w:hAnsi="宋体"/>
                <w:color w:val="auto"/>
                <w:kern w:val="0"/>
                <w:sz w:val="24"/>
                <w:highlight w:val="none"/>
              </w:rPr>
              <w:t>拥有国家级网球培训基地挂牌资质的得5分；</w:t>
            </w:r>
            <w:r>
              <w:rPr>
                <w:rFonts w:hint="eastAsia" w:ascii="宋体" w:hAnsi="宋体"/>
                <w:color w:val="auto"/>
                <w:kern w:val="0"/>
                <w:sz w:val="24"/>
                <w:highlight w:val="none"/>
              </w:rPr>
              <w:t>提供相关证明资料复印件，否则不得分；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760" w:type="dxa"/>
            <w:vMerge w:val="continue"/>
            <w:noWrap w:val="0"/>
            <w:vAlign w:val="center"/>
          </w:tcPr>
          <w:p>
            <w:pPr>
              <w:widowControl/>
              <w:spacing w:line="420" w:lineRule="exact"/>
              <w:jc w:val="center"/>
              <w:rPr>
                <w:rFonts w:ascii="宋体" w:hAnsi="宋体"/>
                <w:color w:val="auto"/>
                <w:kern w:val="0"/>
                <w:sz w:val="24"/>
                <w:highlight w:val="none"/>
              </w:rPr>
            </w:pPr>
          </w:p>
        </w:tc>
        <w:tc>
          <w:tcPr>
            <w:tcW w:w="7252" w:type="dxa"/>
            <w:noWrap w:val="0"/>
            <w:vAlign w:val="center"/>
          </w:tcPr>
          <w:p>
            <w:pPr>
              <w:widowControl/>
              <w:adjustRightInd w:val="0"/>
              <w:snapToGrid w:val="0"/>
              <w:spacing w:line="420" w:lineRule="exact"/>
              <w:jc w:val="left"/>
              <w:rPr>
                <w:rFonts w:ascii="宋体" w:hAnsi="宋体"/>
                <w:color w:val="auto"/>
                <w:kern w:val="0"/>
                <w:sz w:val="24"/>
                <w:highlight w:val="none"/>
              </w:rPr>
            </w:pPr>
            <w:r>
              <w:rPr>
                <w:rFonts w:ascii="宋体" w:hAnsi="宋体"/>
                <w:color w:val="auto"/>
                <w:kern w:val="0"/>
                <w:sz w:val="24"/>
                <w:highlight w:val="none"/>
              </w:rPr>
              <w:t>有能力且承诺在合作期间获得赞助商提供活动、赛事经费得6分；</w:t>
            </w:r>
            <w:r>
              <w:rPr>
                <w:rFonts w:hint="eastAsia" w:ascii="宋体" w:hAnsi="宋体"/>
                <w:color w:val="auto"/>
                <w:kern w:val="0"/>
                <w:sz w:val="24"/>
                <w:highlight w:val="none"/>
              </w:rPr>
              <w:t>提供相关承诺函，否则不得分；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760" w:type="dxa"/>
            <w:vMerge w:val="continue"/>
            <w:noWrap w:val="0"/>
            <w:vAlign w:val="center"/>
          </w:tcPr>
          <w:p>
            <w:pPr>
              <w:widowControl/>
              <w:spacing w:line="420" w:lineRule="exact"/>
              <w:jc w:val="center"/>
              <w:rPr>
                <w:rFonts w:ascii="宋体" w:hAnsi="宋体"/>
                <w:color w:val="auto"/>
                <w:kern w:val="0"/>
                <w:sz w:val="24"/>
                <w:highlight w:val="none"/>
              </w:rPr>
            </w:pPr>
          </w:p>
        </w:tc>
        <w:tc>
          <w:tcPr>
            <w:tcW w:w="7252" w:type="dxa"/>
            <w:noWrap w:val="0"/>
            <w:vAlign w:val="center"/>
          </w:tcPr>
          <w:p>
            <w:pPr>
              <w:widowControl/>
              <w:adjustRightInd w:val="0"/>
              <w:snapToGrid w:val="0"/>
              <w:spacing w:line="420" w:lineRule="exact"/>
              <w:jc w:val="left"/>
              <w:rPr>
                <w:rFonts w:ascii="宋体" w:hAnsi="宋体"/>
                <w:color w:val="auto"/>
                <w:kern w:val="0"/>
                <w:sz w:val="24"/>
                <w:highlight w:val="none"/>
              </w:rPr>
            </w:pPr>
            <w:r>
              <w:rPr>
                <w:rFonts w:ascii="宋体" w:hAnsi="宋体"/>
                <w:color w:val="auto"/>
                <w:kern w:val="0"/>
                <w:sz w:val="24"/>
                <w:highlight w:val="none"/>
              </w:rPr>
              <w:t>有能力承办中国网球协会教练员培训班和中国网球协会官方赛事的得4分。</w:t>
            </w:r>
            <w:r>
              <w:rPr>
                <w:rFonts w:hint="eastAsia" w:ascii="宋体" w:hAnsi="宋体"/>
                <w:color w:val="auto"/>
                <w:kern w:val="0"/>
                <w:sz w:val="24"/>
                <w:highlight w:val="none"/>
              </w:rPr>
              <w:t>提供相关证明资料复印件，否则不得分；</w:t>
            </w:r>
          </w:p>
        </w:tc>
      </w:tr>
    </w:tbl>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2、价格分（20分）</w:t>
      </w:r>
    </w:p>
    <w:p>
      <w:pPr>
        <w:widowControl/>
        <w:shd w:val="clear" w:color="auto" w:fill="FFFFFD"/>
        <w:tabs>
          <w:tab w:val="left" w:pos="360"/>
          <w:tab w:val="left" w:pos="630"/>
        </w:tabs>
        <w:snapToGrid w:val="0"/>
        <w:spacing w:line="420" w:lineRule="exact"/>
        <w:ind w:firstLine="568" w:firstLineChars="237"/>
        <w:jc w:val="left"/>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kern w:val="0"/>
          <w:sz w:val="24"/>
          <w:highlight w:val="none"/>
        </w:rPr>
        <w:t>分成比例中</w:t>
      </w:r>
      <w:r>
        <w:rPr>
          <w:rFonts w:hint="eastAsia" w:ascii="宋体" w:hAnsi="宋体"/>
          <w:color w:val="auto"/>
          <w:kern w:val="0"/>
          <w:sz w:val="24"/>
          <w:highlight w:val="none"/>
        </w:rPr>
        <w:t>投标人</w:t>
      </w:r>
      <w:r>
        <w:rPr>
          <w:rFonts w:ascii="宋体" w:hAnsi="宋体"/>
          <w:color w:val="auto"/>
          <w:kern w:val="0"/>
          <w:sz w:val="24"/>
          <w:highlight w:val="none"/>
        </w:rPr>
        <w:t>自身比例</w:t>
      </w:r>
      <w:r>
        <w:rPr>
          <w:rFonts w:hint="eastAsia" w:ascii="宋体" w:hAnsi="宋体"/>
          <w:color w:val="auto"/>
          <w:sz w:val="24"/>
          <w:highlight w:val="none"/>
        </w:rPr>
        <w:t>低于或等于最高控制比例的，为有效投标报价。超最高控制比例的投标报价为无效投标报价。无效投标报价的投标文件不进行评审，也不得中标。</w:t>
      </w:r>
    </w:p>
    <w:p>
      <w:pPr>
        <w:widowControl/>
        <w:adjustRightInd w:val="0"/>
        <w:snapToGrid w:val="0"/>
        <w:spacing w:after="200" w:line="420" w:lineRule="exact"/>
        <w:jc w:val="center"/>
        <w:rPr>
          <w:rFonts w:ascii="宋体" w:hAnsi="宋体"/>
          <w:bCs/>
          <w:color w:val="auto"/>
          <w:kern w:val="0"/>
          <w:sz w:val="24"/>
          <w:highlight w:val="none"/>
        </w:rPr>
      </w:pPr>
      <w:r>
        <w:rPr>
          <w:rFonts w:ascii="宋体" w:hAnsi="宋体"/>
          <w:bCs/>
          <w:color w:val="auto"/>
          <w:kern w:val="0"/>
          <w:sz w:val="24"/>
          <w:highlight w:val="none"/>
        </w:rPr>
        <w:t>培训项目分成比例</w:t>
      </w:r>
    </w:p>
    <w:tbl>
      <w:tblPr>
        <w:tblStyle w:val="7"/>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1474"/>
        <w:gridCol w:w="2403"/>
        <w:gridCol w:w="235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11"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标段号</w:t>
            </w:r>
          </w:p>
        </w:tc>
        <w:tc>
          <w:tcPr>
            <w:tcW w:w="1474"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项目类型</w:t>
            </w:r>
          </w:p>
        </w:tc>
        <w:tc>
          <w:tcPr>
            <w:tcW w:w="4753" w:type="dxa"/>
            <w:gridSpan w:val="2"/>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分成比例</w:t>
            </w:r>
          </w:p>
        </w:tc>
        <w:tc>
          <w:tcPr>
            <w:tcW w:w="1587"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1474"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2403"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招标人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（不低于）</w:t>
            </w:r>
          </w:p>
        </w:tc>
        <w:tc>
          <w:tcPr>
            <w:tcW w:w="2350"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投标人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（不高于）</w:t>
            </w:r>
          </w:p>
        </w:tc>
        <w:tc>
          <w:tcPr>
            <w:tcW w:w="1587" w:type="dxa"/>
            <w:vMerge w:val="continue"/>
            <w:noWrap w:val="0"/>
            <w:vAlign w:val="top"/>
          </w:tcPr>
          <w:p>
            <w:pPr>
              <w:widowControl/>
              <w:adjustRightInd w:val="0"/>
              <w:snapToGrid w:val="0"/>
              <w:spacing w:line="420" w:lineRule="exact"/>
              <w:jc w:val="center"/>
              <w:rPr>
                <w:rFonts w:ascii="宋体" w:hAnsi="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1</w:t>
            </w:r>
          </w:p>
        </w:tc>
        <w:tc>
          <w:tcPr>
            <w:tcW w:w="1474"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网球</w:t>
            </w:r>
          </w:p>
        </w:tc>
        <w:tc>
          <w:tcPr>
            <w:tcW w:w="2403"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30%</w:t>
            </w:r>
          </w:p>
        </w:tc>
        <w:tc>
          <w:tcPr>
            <w:tcW w:w="2350"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70%</w:t>
            </w:r>
          </w:p>
        </w:tc>
        <w:tc>
          <w:tcPr>
            <w:tcW w:w="1587" w:type="dxa"/>
            <w:noWrap w:val="0"/>
            <w:vAlign w:val="center"/>
          </w:tcPr>
          <w:p>
            <w:pPr>
              <w:widowControl/>
              <w:adjustRightInd w:val="0"/>
              <w:snapToGrid w:val="0"/>
              <w:spacing w:line="420" w:lineRule="exact"/>
              <w:jc w:val="center"/>
              <w:rPr>
                <w:rFonts w:ascii="宋体" w:hAnsi="宋体"/>
                <w:bCs/>
                <w:color w:val="auto"/>
                <w:kern w:val="0"/>
                <w:sz w:val="24"/>
                <w:highlight w:val="none"/>
              </w:rPr>
            </w:pPr>
          </w:p>
        </w:tc>
      </w:tr>
    </w:tbl>
    <w:p>
      <w:pPr>
        <w:snapToGrid w:val="0"/>
        <w:spacing w:line="420" w:lineRule="exact"/>
        <w:ind w:firstLine="484" w:firstLineChars="202"/>
        <w:rPr>
          <w:rFonts w:hint="eastAsia" w:ascii="宋体" w:hAnsi="宋体"/>
          <w:color w:val="auto"/>
          <w:kern w:val="0"/>
          <w:sz w:val="24"/>
          <w:highlight w:val="none"/>
        </w:rPr>
      </w:pPr>
      <w:r>
        <w:rPr>
          <w:rFonts w:hint="eastAsia" w:ascii="宋体" w:hAnsi="宋体"/>
          <w:color w:val="auto"/>
          <w:kern w:val="0"/>
          <w:sz w:val="24"/>
          <w:highlight w:val="none"/>
        </w:rPr>
        <w:t>（2）</w:t>
      </w:r>
      <w:r>
        <w:rPr>
          <w:rFonts w:ascii="宋体" w:hAnsi="宋体"/>
          <w:color w:val="auto"/>
          <w:kern w:val="0"/>
          <w:sz w:val="24"/>
          <w:highlight w:val="none"/>
        </w:rPr>
        <w:t>价格分采用低价优先法计算，即满足招标文件要求且分成比例中</w:t>
      </w:r>
      <w:r>
        <w:rPr>
          <w:rFonts w:hint="eastAsia" w:ascii="宋体" w:hAnsi="宋体"/>
          <w:b/>
          <w:color w:val="auto"/>
          <w:kern w:val="0"/>
          <w:sz w:val="24"/>
          <w:highlight w:val="none"/>
        </w:rPr>
        <w:t>投标人</w:t>
      </w:r>
      <w:r>
        <w:rPr>
          <w:rFonts w:ascii="宋体" w:hAnsi="宋体"/>
          <w:b/>
          <w:color w:val="auto"/>
          <w:kern w:val="0"/>
          <w:sz w:val="24"/>
          <w:highlight w:val="none"/>
        </w:rPr>
        <w:t>自身比例最低的投标报价为评标基准价</w:t>
      </w:r>
      <w:r>
        <w:rPr>
          <w:rFonts w:ascii="宋体" w:hAnsi="宋体"/>
          <w:color w:val="auto"/>
          <w:kern w:val="0"/>
          <w:sz w:val="24"/>
          <w:highlight w:val="none"/>
        </w:rPr>
        <w:t>，其价格分为满分。其他投标人的价格分别按照下列公式计算：</w:t>
      </w:r>
    </w:p>
    <w:p>
      <w:pPr>
        <w:spacing w:line="360" w:lineRule="auto"/>
        <w:ind w:firstLine="480" w:firstLineChars="200"/>
        <w:rPr>
          <w:rFonts w:hint="eastAsia" w:ascii="宋体" w:hAnsi="宋体"/>
          <w:b/>
          <w:color w:val="auto"/>
          <w:sz w:val="24"/>
          <w:highlight w:val="none"/>
        </w:rPr>
      </w:pPr>
      <w:r>
        <w:rPr>
          <w:rFonts w:ascii="宋体" w:hAnsi="宋体"/>
          <w:color w:val="auto"/>
          <w:kern w:val="0"/>
          <w:sz w:val="24"/>
          <w:highlight w:val="none"/>
        </w:rPr>
        <w:t>报价得分 =（评标基准价/报价）×20%×100</w:t>
      </w:r>
    </w:p>
    <w:p>
      <w:pPr>
        <w:spacing w:line="360" w:lineRule="auto"/>
        <w:ind w:firstLine="482" w:firstLineChars="200"/>
        <w:rPr>
          <w:rFonts w:hint="eastAsia" w:ascii="宋体" w:hAnsi="宋体" w:cs="宋体"/>
          <w:b/>
          <w:bCs/>
          <w:color w:val="auto"/>
          <w:sz w:val="24"/>
          <w:highlight w:val="none"/>
        </w:rPr>
      </w:pPr>
    </w:p>
    <w:p>
      <w:pPr>
        <w:spacing w:line="360" w:lineRule="auto"/>
        <w:ind w:firstLine="482" w:firstLineChars="200"/>
        <w:rPr>
          <w:rFonts w:hint="eastAsia" w:ascii="宋体" w:hAnsi="宋体"/>
          <w:b/>
          <w:color w:val="auto"/>
          <w:sz w:val="24"/>
          <w:highlight w:val="none"/>
        </w:rPr>
      </w:pPr>
      <w:r>
        <w:rPr>
          <w:rFonts w:hint="eastAsia" w:ascii="宋体" w:hAnsi="宋体" w:cs="宋体"/>
          <w:b/>
          <w:bCs/>
          <w:color w:val="auto"/>
          <w:sz w:val="24"/>
          <w:highlight w:val="none"/>
        </w:rPr>
        <w:t>(二)</w:t>
      </w:r>
      <w:r>
        <w:rPr>
          <w:rFonts w:ascii="宋体" w:hAnsi="宋体"/>
          <w:b/>
          <w:color w:val="auto"/>
          <w:sz w:val="24"/>
          <w:highlight w:val="none"/>
        </w:rPr>
        <w:t xml:space="preserve"> </w:t>
      </w:r>
      <w:r>
        <w:rPr>
          <w:rFonts w:hint="eastAsia" w:ascii="宋体" w:hAnsi="宋体"/>
          <w:b/>
          <w:color w:val="auto"/>
          <w:sz w:val="24"/>
          <w:highlight w:val="none"/>
        </w:rPr>
        <w:t>二标段（足球）</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1、技术标（80分）</w:t>
      </w:r>
    </w:p>
    <w:tbl>
      <w:tblPr>
        <w:tblStyle w:val="7"/>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0"/>
        <w:gridCol w:w="7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1760" w:type="dxa"/>
            <w:vMerge w:val="restart"/>
            <w:shd w:val="clear" w:color="000000" w:fill="FFFFFF"/>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师资力量</w:t>
            </w:r>
            <w:r>
              <w:rPr>
                <w:rFonts w:ascii="宋体" w:hAnsi="宋体"/>
                <w:color w:val="auto"/>
                <w:kern w:val="0"/>
                <w:sz w:val="24"/>
                <w:highlight w:val="none"/>
              </w:rPr>
              <w:br w:type="textWrapping"/>
            </w:r>
            <w:r>
              <w:rPr>
                <w:rFonts w:ascii="宋体" w:hAnsi="宋体"/>
                <w:color w:val="auto"/>
                <w:kern w:val="0"/>
                <w:sz w:val="24"/>
                <w:highlight w:val="none"/>
              </w:rPr>
              <w:t>（28分）</w:t>
            </w: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每有一位全职教练员得4分，最高得12分；</w:t>
            </w:r>
            <w:r>
              <w:rPr>
                <w:rFonts w:hint="eastAsia" w:ascii="宋体" w:hAnsi="宋体"/>
                <w:color w:val="auto"/>
                <w:kern w:val="0"/>
                <w:sz w:val="24"/>
                <w:highlight w:val="none"/>
              </w:rPr>
              <w:t>提供与投标人签订劳动合同、近6个月的社保缴费记录及证书原件的复印件，否则不得分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shd w:val="clear" w:color="auto" w:fill="auto"/>
            <w:noWrap w:val="0"/>
            <w:vAlign w:val="center"/>
          </w:tcPr>
          <w:p>
            <w:pPr>
              <w:widowControl/>
              <w:spacing w:line="420" w:lineRule="exact"/>
              <w:jc w:val="left"/>
              <w:rPr>
                <w:rFonts w:ascii="宋体" w:hAnsi="宋体"/>
                <w:color w:val="auto"/>
                <w:kern w:val="0"/>
                <w:sz w:val="24"/>
                <w:highlight w:val="none"/>
              </w:rPr>
            </w:pP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教练员有中国足协教练员证书得10分，最高得10分；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shd w:val="clear" w:color="auto" w:fill="auto"/>
            <w:noWrap w:val="0"/>
            <w:vAlign w:val="center"/>
          </w:tcPr>
          <w:p>
            <w:pPr>
              <w:widowControl/>
              <w:spacing w:line="420" w:lineRule="exact"/>
              <w:jc w:val="left"/>
              <w:rPr>
                <w:rFonts w:ascii="宋体" w:hAnsi="宋体"/>
                <w:color w:val="auto"/>
                <w:kern w:val="0"/>
                <w:sz w:val="24"/>
                <w:highlight w:val="none"/>
              </w:rPr>
            </w:pP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教练员有江苏足协教练员证书得6分，最高6分；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restart"/>
            <w:shd w:val="clear" w:color="000000" w:fill="FFFFFF"/>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办赛经验</w:t>
            </w:r>
            <w:r>
              <w:rPr>
                <w:rFonts w:ascii="宋体" w:hAnsi="宋体"/>
                <w:color w:val="auto"/>
                <w:kern w:val="0"/>
                <w:sz w:val="24"/>
                <w:highlight w:val="none"/>
              </w:rPr>
              <w:br w:type="textWrapping"/>
            </w:r>
            <w:r>
              <w:rPr>
                <w:rFonts w:ascii="宋体" w:hAnsi="宋体"/>
                <w:color w:val="auto"/>
                <w:kern w:val="0"/>
                <w:sz w:val="24"/>
                <w:highlight w:val="none"/>
              </w:rPr>
              <w:t>（24分）</w:t>
            </w: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hint="eastAsia" w:ascii="宋体" w:hAnsi="宋体"/>
                <w:color w:val="auto"/>
                <w:kern w:val="0"/>
                <w:sz w:val="24"/>
                <w:highlight w:val="none"/>
              </w:rPr>
              <w:t>投标人</w:t>
            </w:r>
            <w:r>
              <w:rPr>
                <w:rFonts w:ascii="宋体" w:hAnsi="宋体"/>
                <w:color w:val="auto"/>
                <w:kern w:val="0"/>
                <w:sz w:val="24"/>
                <w:highlight w:val="none"/>
              </w:rPr>
              <w:t>近三年</w:t>
            </w:r>
            <w:r>
              <w:rPr>
                <w:rFonts w:hint="eastAsia" w:ascii="宋体" w:hAnsi="宋体"/>
                <w:color w:val="auto"/>
                <w:kern w:val="0"/>
                <w:sz w:val="24"/>
                <w:highlight w:val="none"/>
              </w:rPr>
              <w:t>（2019年1月至今）</w:t>
            </w:r>
            <w:r>
              <w:rPr>
                <w:rFonts w:ascii="宋体" w:hAnsi="宋体"/>
                <w:color w:val="auto"/>
                <w:kern w:val="0"/>
                <w:sz w:val="24"/>
                <w:highlight w:val="none"/>
              </w:rPr>
              <w:t>组织过区级别的活动得6分，最高得6分；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shd w:val="clear" w:color="auto" w:fill="auto"/>
            <w:noWrap w:val="0"/>
            <w:vAlign w:val="center"/>
          </w:tcPr>
          <w:p>
            <w:pPr>
              <w:widowControl/>
              <w:spacing w:line="420" w:lineRule="exact"/>
              <w:jc w:val="left"/>
              <w:rPr>
                <w:rFonts w:ascii="宋体" w:hAnsi="宋体"/>
                <w:color w:val="auto"/>
                <w:kern w:val="0"/>
                <w:sz w:val="24"/>
                <w:highlight w:val="none"/>
              </w:rPr>
            </w:pP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hint="eastAsia" w:ascii="宋体" w:hAnsi="宋体"/>
                <w:color w:val="auto"/>
                <w:kern w:val="0"/>
                <w:sz w:val="24"/>
                <w:highlight w:val="none"/>
              </w:rPr>
              <w:t>投标人</w:t>
            </w:r>
            <w:r>
              <w:rPr>
                <w:rFonts w:ascii="宋体" w:hAnsi="宋体"/>
                <w:color w:val="auto"/>
                <w:kern w:val="0"/>
                <w:sz w:val="24"/>
                <w:highlight w:val="none"/>
              </w:rPr>
              <w:t>近三年</w:t>
            </w:r>
            <w:r>
              <w:rPr>
                <w:rFonts w:hint="eastAsia" w:ascii="宋体" w:hAnsi="宋体"/>
                <w:color w:val="auto"/>
                <w:kern w:val="0"/>
                <w:sz w:val="24"/>
                <w:highlight w:val="none"/>
              </w:rPr>
              <w:t>（2019年1月至今）</w:t>
            </w:r>
            <w:r>
              <w:rPr>
                <w:rFonts w:ascii="宋体" w:hAnsi="宋体"/>
                <w:color w:val="auto"/>
                <w:kern w:val="0"/>
                <w:sz w:val="24"/>
                <w:highlight w:val="none"/>
              </w:rPr>
              <w:t>组织过市级别的活动得8分，最高得8分；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shd w:val="clear" w:color="auto" w:fill="auto"/>
            <w:noWrap w:val="0"/>
            <w:vAlign w:val="center"/>
          </w:tcPr>
          <w:p>
            <w:pPr>
              <w:widowControl/>
              <w:spacing w:line="420" w:lineRule="exact"/>
              <w:jc w:val="left"/>
              <w:rPr>
                <w:rFonts w:ascii="宋体" w:hAnsi="宋体"/>
                <w:color w:val="auto"/>
                <w:kern w:val="0"/>
                <w:sz w:val="24"/>
                <w:highlight w:val="none"/>
              </w:rPr>
            </w:pP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hint="eastAsia" w:ascii="宋体" w:hAnsi="宋体"/>
                <w:color w:val="auto"/>
                <w:kern w:val="0"/>
                <w:sz w:val="24"/>
                <w:highlight w:val="none"/>
              </w:rPr>
              <w:t>投标人</w:t>
            </w:r>
            <w:r>
              <w:rPr>
                <w:rFonts w:ascii="宋体" w:hAnsi="宋体"/>
                <w:color w:val="auto"/>
                <w:kern w:val="0"/>
                <w:sz w:val="24"/>
                <w:highlight w:val="none"/>
              </w:rPr>
              <w:t>近三年</w:t>
            </w:r>
            <w:r>
              <w:rPr>
                <w:rFonts w:hint="eastAsia" w:ascii="宋体" w:hAnsi="宋体"/>
                <w:color w:val="auto"/>
                <w:kern w:val="0"/>
                <w:sz w:val="24"/>
                <w:highlight w:val="none"/>
              </w:rPr>
              <w:t>（2019年1月至今）</w:t>
            </w:r>
            <w:r>
              <w:rPr>
                <w:rFonts w:ascii="宋体" w:hAnsi="宋体"/>
                <w:color w:val="auto"/>
                <w:kern w:val="0"/>
                <w:sz w:val="24"/>
                <w:highlight w:val="none"/>
              </w:rPr>
              <w:t>组织过省级别的活动得10分，最高得10分；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shd w:val="clear" w:color="auto" w:fill="auto"/>
            <w:noWrap w:val="0"/>
            <w:vAlign w:val="center"/>
          </w:tcPr>
          <w:p>
            <w:pPr>
              <w:widowControl/>
              <w:spacing w:line="420" w:lineRule="exact"/>
              <w:jc w:val="left"/>
              <w:rPr>
                <w:rFonts w:ascii="宋体" w:hAnsi="宋体"/>
                <w:color w:val="auto"/>
                <w:kern w:val="0"/>
                <w:sz w:val="24"/>
                <w:highlight w:val="none"/>
              </w:rPr>
            </w:pP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以上项目分数可兼得，提供秩序册或其他相关证明材料</w:t>
            </w:r>
            <w:r>
              <w:rPr>
                <w:rFonts w:hint="eastAsia" w:ascii="宋体" w:hAnsi="宋体"/>
                <w:color w:val="auto"/>
                <w:kern w:val="0"/>
                <w:sz w:val="24"/>
                <w:highlight w:val="none"/>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1760" w:type="dxa"/>
            <w:shd w:val="clear" w:color="000000" w:fill="FFFFFF"/>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品牌影响力</w:t>
            </w:r>
            <w:r>
              <w:rPr>
                <w:rFonts w:ascii="宋体" w:hAnsi="宋体"/>
                <w:color w:val="auto"/>
                <w:kern w:val="0"/>
                <w:sz w:val="24"/>
                <w:highlight w:val="none"/>
              </w:rPr>
              <w:br w:type="textWrapping"/>
            </w:r>
            <w:r>
              <w:rPr>
                <w:rFonts w:ascii="宋体" w:hAnsi="宋体"/>
                <w:color w:val="auto"/>
                <w:kern w:val="0"/>
                <w:sz w:val="24"/>
                <w:highlight w:val="none"/>
              </w:rPr>
              <w:t>（8分）</w:t>
            </w:r>
          </w:p>
        </w:tc>
        <w:tc>
          <w:tcPr>
            <w:tcW w:w="7158" w:type="dxa"/>
            <w:shd w:val="clear" w:color="000000" w:fill="FFFFFF"/>
            <w:noWrap w:val="0"/>
            <w:vAlign w:val="center"/>
          </w:tcPr>
          <w:p>
            <w:pPr>
              <w:widowControl/>
              <w:spacing w:line="420" w:lineRule="exact"/>
              <w:jc w:val="left"/>
              <w:rPr>
                <w:rFonts w:ascii="宋体" w:hAnsi="宋体"/>
                <w:color w:val="auto"/>
                <w:kern w:val="0"/>
                <w:sz w:val="24"/>
                <w:highlight w:val="none"/>
              </w:rPr>
            </w:pPr>
            <w:r>
              <w:rPr>
                <w:rFonts w:hint="eastAsia" w:ascii="宋体" w:hAnsi="宋体"/>
                <w:color w:val="auto"/>
                <w:kern w:val="0"/>
                <w:sz w:val="24"/>
                <w:highlight w:val="none"/>
              </w:rPr>
              <w:t>投标人</w:t>
            </w:r>
            <w:r>
              <w:rPr>
                <w:rFonts w:ascii="宋体" w:hAnsi="宋体"/>
                <w:color w:val="auto"/>
                <w:kern w:val="0"/>
                <w:sz w:val="24"/>
                <w:highlight w:val="none"/>
              </w:rPr>
              <w:t>获得过市级及以上的荣誉得8分，未获得不得分。</w:t>
            </w:r>
            <w:r>
              <w:rPr>
                <w:rFonts w:hint="eastAsia" w:ascii="宋体" w:hAnsi="宋体"/>
                <w:color w:val="auto"/>
                <w:kern w:val="0"/>
                <w:sz w:val="24"/>
                <w:highlight w:val="none"/>
              </w:rPr>
              <w:t>提供荣誉证书及相关证明材料，否则不得分；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1760" w:type="dxa"/>
            <w:shd w:val="clear" w:color="000000" w:fill="FFFFFF"/>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未来规划</w:t>
            </w:r>
            <w:r>
              <w:rPr>
                <w:rFonts w:ascii="宋体" w:hAnsi="宋体"/>
                <w:color w:val="auto"/>
                <w:kern w:val="0"/>
                <w:sz w:val="24"/>
                <w:highlight w:val="none"/>
              </w:rPr>
              <w:br w:type="textWrapping"/>
            </w:r>
            <w:r>
              <w:rPr>
                <w:rFonts w:ascii="宋体" w:hAnsi="宋体"/>
                <w:color w:val="auto"/>
                <w:kern w:val="0"/>
                <w:sz w:val="24"/>
                <w:highlight w:val="none"/>
              </w:rPr>
              <w:t>（12分)</w:t>
            </w:r>
          </w:p>
        </w:tc>
        <w:tc>
          <w:tcPr>
            <w:tcW w:w="7158"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包括但不限于项目在创新区全民健身中心未来的发展规划、活动开展计划等方案：</w:t>
            </w:r>
            <w:r>
              <w:rPr>
                <w:rFonts w:ascii="宋体" w:hAnsi="宋体"/>
                <w:color w:val="auto"/>
                <w:kern w:val="0"/>
                <w:sz w:val="24"/>
                <w:highlight w:val="none"/>
              </w:rPr>
              <w:br w:type="textWrapping"/>
            </w:r>
            <w:r>
              <w:rPr>
                <w:rFonts w:ascii="宋体" w:hAnsi="宋体"/>
                <w:color w:val="auto"/>
                <w:kern w:val="0"/>
                <w:sz w:val="24"/>
                <w:highlight w:val="none"/>
              </w:rPr>
              <w:t>方案详实切合实际，落地可操作性强，得9—12分；</w:t>
            </w:r>
          </w:p>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方案部分详实或部分落地可操作性强，得5—8分；</w:t>
            </w:r>
          </w:p>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方案阐述不够完整、不够合理可行、可操作性较弱，得0—4分。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restart"/>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其他条件</w:t>
            </w:r>
            <w:r>
              <w:rPr>
                <w:rFonts w:ascii="宋体" w:hAnsi="宋体"/>
                <w:color w:val="auto"/>
                <w:kern w:val="0"/>
                <w:sz w:val="24"/>
                <w:highlight w:val="none"/>
              </w:rPr>
              <w:br w:type="textWrapping"/>
            </w:r>
            <w:r>
              <w:rPr>
                <w:rFonts w:ascii="宋体" w:hAnsi="宋体"/>
                <w:color w:val="auto"/>
                <w:kern w:val="0"/>
                <w:sz w:val="24"/>
                <w:highlight w:val="none"/>
              </w:rPr>
              <w:t>（8分）</w:t>
            </w:r>
          </w:p>
        </w:tc>
        <w:tc>
          <w:tcPr>
            <w:tcW w:w="7158"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承诺定期举办面对社会青少年儿童及成人的公益足球赛事的得5分；</w:t>
            </w:r>
            <w:r>
              <w:rPr>
                <w:rFonts w:hint="eastAsia" w:ascii="宋体" w:hAnsi="宋体"/>
                <w:color w:val="auto"/>
                <w:kern w:val="0"/>
                <w:sz w:val="24"/>
                <w:highlight w:val="none"/>
              </w:rPr>
              <w:t>提供相关承诺函，否则不得分；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60" w:type="dxa"/>
            <w:vMerge w:val="continue"/>
            <w:noWrap w:val="0"/>
            <w:vAlign w:val="center"/>
          </w:tcPr>
          <w:p>
            <w:pPr>
              <w:widowControl/>
              <w:spacing w:line="420" w:lineRule="exact"/>
              <w:jc w:val="left"/>
              <w:rPr>
                <w:rFonts w:ascii="宋体" w:hAnsi="宋体"/>
                <w:color w:val="auto"/>
                <w:kern w:val="0"/>
                <w:sz w:val="24"/>
                <w:highlight w:val="none"/>
              </w:rPr>
            </w:pPr>
          </w:p>
        </w:tc>
        <w:tc>
          <w:tcPr>
            <w:tcW w:w="7158" w:type="dxa"/>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有能力且承诺在合作期间获得赞助商提供活动、赛事经费得3分。</w:t>
            </w:r>
            <w:r>
              <w:rPr>
                <w:rFonts w:hint="eastAsia" w:ascii="宋体" w:hAnsi="宋体"/>
                <w:color w:val="auto"/>
                <w:kern w:val="0"/>
                <w:sz w:val="24"/>
                <w:highlight w:val="none"/>
              </w:rPr>
              <w:t>提供相关承诺函，否则不得分。</w:t>
            </w:r>
          </w:p>
        </w:tc>
      </w:tr>
    </w:tbl>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2、价格分（20分）</w:t>
      </w:r>
    </w:p>
    <w:p>
      <w:pPr>
        <w:widowControl/>
        <w:shd w:val="clear" w:color="auto" w:fill="FFFFFD"/>
        <w:tabs>
          <w:tab w:val="left" w:pos="360"/>
          <w:tab w:val="left" w:pos="630"/>
        </w:tabs>
        <w:snapToGrid w:val="0"/>
        <w:spacing w:line="420" w:lineRule="exact"/>
        <w:ind w:firstLine="568" w:firstLineChars="237"/>
        <w:jc w:val="left"/>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kern w:val="0"/>
          <w:sz w:val="24"/>
          <w:highlight w:val="none"/>
        </w:rPr>
        <w:t>分成比例中</w:t>
      </w:r>
      <w:r>
        <w:rPr>
          <w:rFonts w:hint="eastAsia" w:ascii="宋体" w:hAnsi="宋体"/>
          <w:color w:val="auto"/>
          <w:kern w:val="0"/>
          <w:sz w:val="24"/>
          <w:highlight w:val="none"/>
        </w:rPr>
        <w:t>投标人</w:t>
      </w:r>
      <w:r>
        <w:rPr>
          <w:rFonts w:ascii="宋体" w:hAnsi="宋体"/>
          <w:color w:val="auto"/>
          <w:kern w:val="0"/>
          <w:sz w:val="24"/>
          <w:highlight w:val="none"/>
        </w:rPr>
        <w:t>自身比例</w:t>
      </w:r>
      <w:r>
        <w:rPr>
          <w:rFonts w:hint="eastAsia" w:ascii="宋体" w:hAnsi="宋体"/>
          <w:color w:val="auto"/>
          <w:sz w:val="24"/>
          <w:highlight w:val="none"/>
        </w:rPr>
        <w:t>低于或等于最高控制比例的，为有效投标报价。超最高控制比例的投标报价为无效投标报价。无效投标报价的投标文件不进行评审，也不得中标。</w:t>
      </w:r>
    </w:p>
    <w:p>
      <w:pPr>
        <w:widowControl/>
        <w:adjustRightInd w:val="0"/>
        <w:snapToGrid w:val="0"/>
        <w:spacing w:after="200" w:line="420" w:lineRule="exact"/>
        <w:jc w:val="center"/>
        <w:rPr>
          <w:rFonts w:ascii="宋体" w:hAnsi="宋体"/>
          <w:bCs/>
          <w:color w:val="auto"/>
          <w:kern w:val="0"/>
          <w:sz w:val="24"/>
          <w:highlight w:val="none"/>
        </w:rPr>
      </w:pPr>
      <w:r>
        <w:rPr>
          <w:rFonts w:ascii="宋体" w:hAnsi="宋体"/>
          <w:bCs/>
          <w:color w:val="auto"/>
          <w:kern w:val="0"/>
          <w:sz w:val="24"/>
          <w:highlight w:val="none"/>
        </w:rPr>
        <w:t>培训项目分成比例</w:t>
      </w:r>
    </w:p>
    <w:tbl>
      <w:tblPr>
        <w:tblStyle w:val="7"/>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756"/>
        <w:gridCol w:w="2403"/>
        <w:gridCol w:w="235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829"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标段</w:t>
            </w:r>
            <w:r>
              <w:rPr>
                <w:rFonts w:ascii="宋体" w:hAnsi="宋体"/>
                <w:bCs/>
                <w:color w:val="auto"/>
                <w:kern w:val="0"/>
                <w:sz w:val="24"/>
                <w:highlight w:val="none"/>
              </w:rPr>
              <w:t>号</w:t>
            </w:r>
          </w:p>
        </w:tc>
        <w:tc>
          <w:tcPr>
            <w:tcW w:w="1756"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项目类型</w:t>
            </w:r>
          </w:p>
        </w:tc>
        <w:tc>
          <w:tcPr>
            <w:tcW w:w="4753" w:type="dxa"/>
            <w:gridSpan w:val="2"/>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分成比例</w:t>
            </w:r>
          </w:p>
        </w:tc>
        <w:tc>
          <w:tcPr>
            <w:tcW w:w="1587"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1756"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2403"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招标人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（不低于）</w:t>
            </w:r>
          </w:p>
        </w:tc>
        <w:tc>
          <w:tcPr>
            <w:tcW w:w="2350"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投标人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（不高于）</w:t>
            </w:r>
          </w:p>
        </w:tc>
        <w:tc>
          <w:tcPr>
            <w:tcW w:w="1587" w:type="dxa"/>
            <w:vMerge w:val="continue"/>
            <w:noWrap w:val="0"/>
            <w:vAlign w:val="top"/>
          </w:tcPr>
          <w:p>
            <w:pPr>
              <w:widowControl/>
              <w:adjustRightInd w:val="0"/>
              <w:snapToGrid w:val="0"/>
              <w:spacing w:line="420" w:lineRule="exact"/>
              <w:jc w:val="center"/>
              <w:rPr>
                <w:rFonts w:ascii="宋体" w:hAnsi="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2</w:t>
            </w:r>
          </w:p>
        </w:tc>
        <w:tc>
          <w:tcPr>
            <w:tcW w:w="1756"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足球</w:t>
            </w:r>
          </w:p>
        </w:tc>
        <w:tc>
          <w:tcPr>
            <w:tcW w:w="2403"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30%</w:t>
            </w:r>
          </w:p>
        </w:tc>
        <w:tc>
          <w:tcPr>
            <w:tcW w:w="2350"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70%</w:t>
            </w:r>
          </w:p>
        </w:tc>
        <w:tc>
          <w:tcPr>
            <w:tcW w:w="1587" w:type="dxa"/>
            <w:noWrap w:val="0"/>
            <w:vAlign w:val="center"/>
          </w:tcPr>
          <w:p>
            <w:pPr>
              <w:widowControl/>
              <w:adjustRightInd w:val="0"/>
              <w:snapToGrid w:val="0"/>
              <w:spacing w:line="420" w:lineRule="exact"/>
              <w:jc w:val="center"/>
              <w:rPr>
                <w:rFonts w:ascii="宋体" w:hAnsi="宋体"/>
                <w:bCs/>
                <w:color w:val="auto"/>
                <w:kern w:val="0"/>
                <w:sz w:val="24"/>
                <w:highlight w:val="none"/>
              </w:rPr>
            </w:pPr>
          </w:p>
        </w:tc>
      </w:tr>
    </w:tbl>
    <w:p>
      <w:pPr>
        <w:snapToGrid w:val="0"/>
        <w:spacing w:line="420" w:lineRule="exact"/>
        <w:ind w:firstLine="484" w:firstLineChars="202"/>
        <w:rPr>
          <w:rFonts w:hint="eastAsia" w:ascii="宋体" w:hAnsi="宋体"/>
          <w:color w:val="auto"/>
          <w:kern w:val="0"/>
          <w:sz w:val="24"/>
          <w:highlight w:val="none"/>
        </w:rPr>
      </w:pPr>
      <w:r>
        <w:rPr>
          <w:rFonts w:hint="eastAsia" w:ascii="宋体" w:hAnsi="宋体"/>
          <w:color w:val="auto"/>
          <w:kern w:val="0"/>
          <w:sz w:val="24"/>
          <w:highlight w:val="none"/>
        </w:rPr>
        <w:t>（2）</w:t>
      </w:r>
      <w:r>
        <w:rPr>
          <w:rFonts w:ascii="宋体" w:hAnsi="宋体"/>
          <w:color w:val="auto"/>
          <w:kern w:val="0"/>
          <w:sz w:val="24"/>
          <w:highlight w:val="none"/>
        </w:rPr>
        <w:t>价格分采用低价优先法计算，即满足招标文件要求且分成比例中</w:t>
      </w:r>
      <w:r>
        <w:rPr>
          <w:rFonts w:hint="eastAsia" w:ascii="宋体" w:hAnsi="宋体"/>
          <w:b/>
          <w:color w:val="auto"/>
          <w:kern w:val="0"/>
          <w:sz w:val="24"/>
          <w:highlight w:val="none"/>
        </w:rPr>
        <w:t>投标人</w:t>
      </w:r>
      <w:r>
        <w:rPr>
          <w:rFonts w:ascii="宋体" w:hAnsi="宋体"/>
          <w:b/>
          <w:color w:val="auto"/>
          <w:kern w:val="0"/>
          <w:sz w:val="24"/>
          <w:highlight w:val="none"/>
        </w:rPr>
        <w:t>自身比例最低的投标报价为评标基准价</w:t>
      </w:r>
      <w:r>
        <w:rPr>
          <w:rFonts w:ascii="宋体" w:hAnsi="宋体"/>
          <w:color w:val="auto"/>
          <w:kern w:val="0"/>
          <w:sz w:val="24"/>
          <w:highlight w:val="none"/>
        </w:rPr>
        <w:t>，其价格分为满分。其他投标人的价格分别按照下列公式计算：</w:t>
      </w:r>
    </w:p>
    <w:p>
      <w:pPr>
        <w:spacing w:line="360" w:lineRule="auto"/>
        <w:ind w:firstLine="480" w:firstLineChars="200"/>
        <w:rPr>
          <w:rFonts w:hint="eastAsia" w:ascii="宋体" w:hAnsi="宋体"/>
          <w:b/>
          <w:color w:val="auto"/>
          <w:sz w:val="24"/>
          <w:highlight w:val="none"/>
        </w:rPr>
      </w:pPr>
      <w:r>
        <w:rPr>
          <w:rFonts w:ascii="宋体" w:hAnsi="宋体"/>
          <w:color w:val="auto"/>
          <w:kern w:val="0"/>
          <w:sz w:val="24"/>
          <w:highlight w:val="none"/>
        </w:rPr>
        <w:t>报价得分 =（评标基准价/报价）×20%×100</w:t>
      </w:r>
    </w:p>
    <w:p>
      <w:pPr>
        <w:spacing w:line="360" w:lineRule="auto"/>
        <w:ind w:firstLine="482" w:firstLineChars="200"/>
        <w:rPr>
          <w:rFonts w:hint="eastAsia" w:ascii="宋体" w:hAnsi="宋体" w:cs="宋体"/>
          <w:b/>
          <w:bCs/>
          <w:color w:val="auto"/>
          <w:sz w:val="24"/>
          <w:highlight w:val="none"/>
        </w:rPr>
      </w:pPr>
    </w:p>
    <w:p>
      <w:pPr>
        <w:spacing w:line="360" w:lineRule="auto"/>
        <w:ind w:firstLine="482" w:firstLineChars="200"/>
        <w:rPr>
          <w:rFonts w:hint="eastAsia" w:ascii="宋体" w:hAnsi="宋体"/>
          <w:b/>
          <w:color w:val="auto"/>
          <w:sz w:val="24"/>
          <w:highlight w:val="none"/>
        </w:rPr>
      </w:pPr>
      <w:r>
        <w:rPr>
          <w:rFonts w:hint="eastAsia" w:ascii="宋体" w:hAnsi="宋体" w:cs="宋体"/>
          <w:b/>
          <w:bCs/>
          <w:color w:val="auto"/>
          <w:sz w:val="24"/>
          <w:highlight w:val="none"/>
        </w:rPr>
        <w:t>(三)</w:t>
      </w:r>
      <w:r>
        <w:rPr>
          <w:rFonts w:ascii="宋体" w:hAnsi="宋体"/>
          <w:b/>
          <w:color w:val="auto"/>
          <w:sz w:val="24"/>
          <w:highlight w:val="none"/>
        </w:rPr>
        <w:t xml:space="preserve"> </w:t>
      </w:r>
      <w:r>
        <w:rPr>
          <w:rFonts w:hint="eastAsia" w:ascii="宋体" w:hAnsi="宋体"/>
          <w:b/>
          <w:color w:val="auto"/>
          <w:sz w:val="24"/>
          <w:highlight w:val="none"/>
        </w:rPr>
        <w:t>三标段（羽毛球）</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1、技术标（90分）</w:t>
      </w:r>
    </w:p>
    <w:tbl>
      <w:tblPr>
        <w:tblStyle w:val="7"/>
        <w:tblW w:w="9207" w:type="dxa"/>
        <w:jc w:val="center"/>
        <w:tblLayout w:type="autofit"/>
        <w:tblCellMar>
          <w:top w:w="0" w:type="dxa"/>
          <w:left w:w="108" w:type="dxa"/>
          <w:bottom w:w="0" w:type="dxa"/>
          <w:right w:w="108" w:type="dxa"/>
        </w:tblCellMar>
      </w:tblPr>
      <w:tblGrid>
        <w:gridCol w:w="1640"/>
        <w:gridCol w:w="7567"/>
      </w:tblGrid>
      <w:tr>
        <w:tblPrEx>
          <w:tblCellMar>
            <w:top w:w="0" w:type="dxa"/>
            <w:left w:w="108" w:type="dxa"/>
            <w:bottom w:w="0" w:type="dxa"/>
            <w:right w:w="108" w:type="dxa"/>
          </w:tblCellMar>
        </w:tblPrEx>
        <w:trPr>
          <w:trHeight w:val="363" w:hRule="atLeast"/>
          <w:jc w:val="center"/>
        </w:trPr>
        <w:tc>
          <w:tcPr>
            <w:tcW w:w="164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师资力量</w:t>
            </w:r>
            <w:r>
              <w:rPr>
                <w:rFonts w:ascii="宋体" w:hAnsi="宋体"/>
                <w:color w:val="auto"/>
                <w:kern w:val="0"/>
                <w:sz w:val="24"/>
                <w:highlight w:val="none"/>
              </w:rPr>
              <w:br w:type="textWrapping"/>
            </w:r>
            <w:r>
              <w:rPr>
                <w:rFonts w:ascii="宋体" w:hAnsi="宋体"/>
                <w:color w:val="auto"/>
                <w:kern w:val="0"/>
                <w:sz w:val="24"/>
                <w:highlight w:val="none"/>
              </w:rPr>
              <w:t>（</w:t>
            </w:r>
            <w:r>
              <w:rPr>
                <w:rFonts w:hint="eastAsia" w:ascii="宋体" w:hAnsi="宋体"/>
                <w:color w:val="auto"/>
                <w:kern w:val="0"/>
                <w:sz w:val="24"/>
                <w:highlight w:val="none"/>
              </w:rPr>
              <w:t>43</w:t>
            </w:r>
            <w:r>
              <w:rPr>
                <w:rFonts w:ascii="宋体" w:hAnsi="宋体"/>
                <w:color w:val="auto"/>
                <w:kern w:val="0"/>
                <w:sz w:val="24"/>
                <w:highlight w:val="none"/>
              </w:rPr>
              <w:t>分）</w:t>
            </w:r>
          </w:p>
        </w:tc>
        <w:tc>
          <w:tcPr>
            <w:tcW w:w="7567" w:type="dxa"/>
            <w:tcBorders>
              <w:top w:val="single" w:color="auto" w:sz="4" w:space="0"/>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每有一位全职教练员得4分，最高得12分；</w:t>
            </w:r>
            <w:r>
              <w:rPr>
                <w:rFonts w:hint="eastAsia" w:ascii="宋体" w:hAnsi="宋体"/>
                <w:color w:val="auto"/>
                <w:kern w:val="0"/>
                <w:sz w:val="24"/>
                <w:highlight w:val="none"/>
              </w:rPr>
              <w:t>提供与投标人签订劳动合同、近6个月的社保缴费记录及证书原件的复印件，否则不得分</w:t>
            </w:r>
            <w:r>
              <w:rPr>
                <w:rFonts w:ascii="宋体" w:hAnsi="宋体"/>
                <w:color w:val="auto"/>
                <w:kern w:val="0"/>
                <w:sz w:val="24"/>
                <w:highlight w:val="none"/>
              </w:rPr>
              <w:t>；</w:t>
            </w:r>
          </w:p>
        </w:tc>
      </w:tr>
      <w:tr>
        <w:tblPrEx>
          <w:tblCellMar>
            <w:top w:w="0" w:type="dxa"/>
            <w:left w:w="108" w:type="dxa"/>
            <w:bottom w:w="0" w:type="dxa"/>
            <w:right w:w="108" w:type="dxa"/>
          </w:tblCellMar>
        </w:tblPrEx>
        <w:trPr>
          <w:trHeight w:val="1604" w:hRule="atLeast"/>
          <w:jc w:val="center"/>
        </w:trPr>
        <w:tc>
          <w:tcPr>
            <w:tcW w:w="16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教练员获得过国际赛事前三名得10分；</w:t>
            </w:r>
            <w:r>
              <w:rPr>
                <w:rFonts w:ascii="宋体" w:hAnsi="宋体"/>
                <w:color w:val="auto"/>
                <w:kern w:val="0"/>
                <w:sz w:val="24"/>
                <w:highlight w:val="none"/>
              </w:rPr>
              <w:br w:type="textWrapping"/>
            </w:r>
            <w:r>
              <w:rPr>
                <w:rFonts w:ascii="宋体" w:hAnsi="宋体"/>
                <w:color w:val="auto"/>
                <w:kern w:val="0"/>
                <w:sz w:val="24"/>
                <w:highlight w:val="none"/>
              </w:rPr>
              <w:t>教练员获得过全国赛事前三名得6分；</w:t>
            </w:r>
            <w:r>
              <w:rPr>
                <w:rFonts w:ascii="宋体" w:hAnsi="宋体"/>
                <w:color w:val="auto"/>
                <w:kern w:val="0"/>
                <w:sz w:val="24"/>
                <w:highlight w:val="none"/>
              </w:rPr>
              <w:br w:type="textWrapping"/>
            </w:r>
            <w:r>
              <w:rPr>
                <w:rFonts w:ascii="宋体" w:hAnsi="宋体"/>
                <w:color w:val="auto"/>
                <w:kern w:val="0"/>
                <w:sz w:val="24"/>
                <w:highlight w:val="none"/>
              </w:rPr>
              <w:t>教练员获得过省级赛事前三名得4分；</w:t>
            </w:r>
            <w:r>
              <w:rPr>
                <w:rFonts w:ascii="宋体" w:hAnsi="宋体"/>
                <w:color w:val="auto"/>
                <w:kern w:val="0"/>
                <w:sz w:val="24"/>
                <w:highlight w:val="none"/>
              </w:rPr>
              <w:br w:type="textWrapping"/>
            </w:r>
            <w:r>
              <w:rPr>
                <w:rFonts w:ascii="宋体" w:hAnsi="宋体"/>
                <w:color w:val="auto"/>
                <w:kern w:val="0"/>
                <w:sz w:val="24"/>
                <w:highlight w:val="none"/>
              </w:rPr>
              <w:t>教练员获得过地方性赛事前三名得2分；</w:t>
            </w:r>
            <w:r>
              <w:rPr>
                <w:rFonts w:hint="eastAsia" w:ascii="宋体" w:hAnsi="宋体"/>
                <w:color w:val="auto"/>
                <w:kern w:val="0"/>
                <w:sz w:val="24"/>
                <w:highlight w:val="none"/>
              </w:rPr>
              <w:t>提供与投标人签订劳动合同、获奖证书原件的复印件，否则不得分</w:t>
            </w:r>
            <w:r>
              <w:rPr>
                <w:rFonts w:ascii="宋体" w:hAnsi="宋体"/>
                <w:color w:val="auto"/>
                <w:kern w:val="0"/>
                <w:sz w:val="24"/>
                <w:highlight w:val="none"/>
              </w:rPr>
              <w:t>；（取最优成绩，不重复得分）</w:t>
            </w:r>
          </w:p>
        </w:tc>
      </w:tr>
      <w:tr>
        <w:tblPrEx>
          <w:tblCellMar>
            <w:top w:w="0" w:type="dxa"/>
            <w:left w:w="108" w:type="dxa"/>
            <w:bottom w:w="0" w:type="dxa"/>
            <w:right w:w="108" w:type="dxa"/>
          </w:tblCellMar>
        </w:tblPrEx>
        <w:trPr>
          <w:trHeight w:val="1317" w:hRule="atLeast"/>
          <w:jc w:val="center"/>
        </w:trPr>
        <w:tc>
          <w:tcPr>
            <w:tcW w:w="16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有国内外青少年队国家队带队经验的教练得8分；</w:t>
            </w:r>
            <w:r>
              <w:rPr>
                <w:rFonts w:ascii="宋体" w:hAnsi="宋体"/>
                <w:color w:val="auto"/>
                <w:kern w:val="0"/>
                <w:sz w:val="24"/>
                <w:highlight w:val="none"/>
              </w:rPr>
              <w:br w:type="textWrapping"/>
            </w:r>
            <w:r>
              <w:rPr>
                <w:rFonts w:ascii="宋体" w:hAnsi="宋体"/>
                <w:color w:val="auto"/>
                <w:kern w:val="0"/>
                <w:sz w:val="24"/>
                <w:highlight w:val="none"/>
              </w:rPr>
              <w:t>有国内外青少年队省队带队经验的教练得4分；</w:t>
            </w:r>
            <w:r>
              <w:rPr>
                <w:rFonts w:ascii="宋体" w:hAnsi="宋体"/>
                <w:color w:val="auto"/>
                <w:kern w:val="0"/>
                <w:sz w:val="24"/>
                <w:highlight w:val="none"/>
              </w:rPr>
              <w:br w:type="textWrapping"/>
            </w:r>
            <w:r>
              <w:rPr>
                <w:rFonts w:ascii="宋体" w:hAnsi="宋体"/>
                <w:color w:val="auto"/>
                <w:kern w:val="0"/>
                <w:sz w:val="24"/>
                <w:highlight w:val="none"/>
              </w:rPr>
              <w:t>有国内外青少年队市队带队经验的教练得1分；</w:t>
            </w:r>
            <w:r>
              <w:rPr>
                <w:rFonts w:ascii="宋体" w:hAnsi="宋体"/>
                <w:color w:val="auto"/>
                <w:kern w:val="0"/>
                <w:sz w:val="24"/>
                <w:highlight w:val="none"/>
              </w:rPr>
              <w:br w:type="textWrapping"/>
            </w:r>
            <w:r>
              <w:rPr>
                <w:rFonts w:hint="eastAsia" w:ascii="宋体" w:hAnsi="宋体"/>
                <w:color w:val="auto"/>
                <w:kern w:val="0"/>
                <w:sz w:val="24"/>
                <w:highlight w:val="none"/>
              </w:rPr>
              <w:t>提供与投标人签订劳动合同、获奖证书原件的复印件，否则不得分</w:t>
            </w:r>
            <w:r>
              <w:rPr>
                <w:rFonts w:ascii="宋体" w:hAnsi="宋体"/>
                <w:color w:val="auto"/>
                <w:kern w:val="0"/>
                <w:sz w:val="24"/>
                <w:highlight w:val="none"/>
              </w:rPr>
              <w:t>；（取最优成绩，不重复得分）</w:t>
            </w:r>
          </w:p>
        </w:tc>
      </w:tr>
      <w:tr>
        <w:tblPrEx>
          <w:tblCellMar>
            <w:top w:w="0" w:type="dxa"/>
            <w:left w:w="108" w:type="dxa"/>
            <w:bottom w:w="0" w:type="dxa"/>
            <w:right w:w="108" w:type="dxa"/>
          </w:tblCellMar>
        </w:tblPrEx>
        <w:trPr>
          <w:trHeight w:val="255" w:hRule="atLeast"/>
          <w:jc w:val="center"/>
        </w:trPr>
        <w:tc>
          <w:tcPr>
            <w:tcW w:w="16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教练团队中有国家队官方导师、专业组成员的得5分，</w:t>
            </w:r>
            <w:r>
              <w:rPr>
                <w:rFonts w:hint="eastAsia" w:ascii="宋体" w:hAnsi="宋体"/>
                <w:color w:val="auto"/>
                <w:kern w:val="0"/>
                <w:sz w:val="24"/>
                <w:highlight w:val="none"/>
              </w:rPr>
              <w:t>提供与投标人签订劳动合同、获奖证书原件的复印件，否则不得分</w:t>
            </w:r>
            <w:r>
              <w:rPr>
                <w:rFonts w:ascii="宋体" w:hAnsi="宋体"/>
                <w:color w:val="auto"/>
                <w:kern w:val="0"/>
                <w:sz w:val="24"/>
                <w:highlight w:val="none"/>
              </w:rPr>
              <w:t>；</w:t>
            </w:r>
          </w:p>
        </w:tc>
      </w:tr>
      <w:tr>
        <w:tblPrEx>
          <w:tblCellMar>
            <w:top w:w="0" w:type="dxa"/>
            <w:left w:w="108" w:type="dxa"/>
            <w:bottom w:w="0" w:type="dxa"/>
            <w:right w:w="108" w:type="dxa"/>
          </w:tblCellMar>
        </w:tblPrEx>
        <w:trPr>
          <w:trHeight w:val="284" w:hRule="atLeast"/>
          <w:jc w:val="center"/>
        </w:trPr>
        <w:tc>
          <w:tcPr>
            <w:tcW w:w="164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有专业的体能教练员的得8分，</w:t>
            </w:r>
            <w:r>
              <w:rPr>
                <w:rFonts w:hint="eastAsia" w:ascii="宋体" w:hAnsi="宋体"/>
                <w:color w:val="auto"/>
                <w:kern w:val="0"/>
                <w:sz w:val="24"/>
                <w:highlight w:val="none"/>
              </w:rPr>
              <w:t>提供与投标人签订劳动合同、获奖证书原件的复印件，否则不得分</w:t>
            </w:r>
            <w:r>
              <w:rPr>
                <w:rFonts w:ascii="宋体" w:hAnsi="宋体"/>
                <w:color w:val="auto"/>
                <w:kern w:val="0"/>
                <w:sz w:val="24"/>
                <w:highlight w:val="none"/>
              </w:rPr>
              <w:t>；</w:t>
            </w:r>
          </w:p>
        </w:tc>
      </w:tr>
      <w:tr>
        <w:tblPrEx>
          <w:tblCellMar>
            <w:top w:w="0" w:type="dxa"/>
            <w:left w:w="108" w:type="dxa"/>
            <w:bottom w:w="0" w:type="dxa"/>
            <w:right w:w="108" w:type="dxa"/>
          </w:tblCellMar>
        </w:tblPrEx>
        <w:trPr>
          <w:trHeight w:val="1577" w:hRule="atLeast"/>
          <w:jc w:val="center"/>
        </w:trPr>
        <w:tc>
          <w:tcPr>
            <w:tcW w:w="1640" w:type="dxa"/>
            <w:vMerge w:val="restart"/>
            <w:tcBorders>
              <w:top w:val="nil"/>
              <w:left w:val="single" w:color="auto" w:sz="4" w:space="0"/>
              <w:bottom w:val="nil"/>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教学成果</w:t>
            </w:r>
            <w:r>
              <w:rPr>
                <w:rFonts w:ascii="宋体" w:hAnsi="宋体"/>
                <w:color w:val="auto"/>
                <w:kern w:val="0"/>
                <w:sz w:val="24"/>
                <w:highlight w:val="none"/>
              </w:rPr>
              <w:br w:type="textWrapping"/>
            </w:r>
            <w:r>
              <w:rPr>
                <w:rFonts w:ascii="宋体" w:hAnsi="宋体"/>
                <w:color w:val="auto"/>
                <w:kern w:val="0"/>
                <w:sz w:val="24"/>
                <w:highlight w:val="none"/>
              </w:rPr>
              <w:t>（22分）</w:t>
            </w: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学员在国际赛事获得前三名得10分；</w:t>
            </w:r>
            <w:r>
              <w:rPr>
                <w:rFonts w:ascii="宋体" w:hAnsi="宋体"/>
                <w:color w:val="auto"/>
                <w:kern w:val="0"/>
                <w:sz w:val="24"/>
                <w:highlight w:val="none"/>
              </w:rPr>
              <w:br w:type="textWrapping"/>
            </w:r>
            <w:r>
              <w:rPr>
                <w:rFonts w:ascii="宋体" w:hAnsi="宋体"/>
                <w:color w:val="auto"/>
                <w:kern w:val="0"/>
                <w:sz w:val="24"/>
                <w:highlight w:val="none"/>
              </w:rPr>
              <w:t>学员在全国赛事获得前三名得6分；</w:t>
            </w:r>
            <w:r>
              <w:rPr>
                <w:rFonts w:ascii="宋体" w:hAnsi="宋体"/>
                <w:color w:val="auto"/>
                <w:kern w:val="0"/>
                <w:sz w:val="24"/>
                <w:highlight w:val="none"/>
              </w:rPr>
              <w:br w:type="textWrapping"/>
            </w:r>
            <w:r>
              <w:rPr>
                <w:rFonts w:ascii="宋体" w:hAnsi="宋体"/>
                <w:color w:val="auto"/>
                <w:kern w:val="0"/>
                <w:sz w:val="24"/>
                <w:highlight w:val="none"/>
              </w:rPr>
              <w:t>学员在省级赛事获得前三名得4分；</w:t>
            </w:r>
            <w:r>
              <w:rPr>
                <w:rFonts w:ascii="宋体" w:hAnsi="宋体"/>
                <w:color w:val="auto"/>
                <w:kern w:val="0"/>
                <w:sz w:val="24"/>
                <w:highlight w:val="none"/>
              </w:rPr>
              <w:br w:type="textWrapping"/>
            </w:r>
            <w:r>
              <w:rPr>
                <w:rFonts w:ascii="宋体" w:hAnsi="宋体"/>
                <w:color w:val="auto"/>
                <w:kern w:val="0"/>
                <w:sz w:val="24"/>
                <w:highlight w:val="none"/>
              </w:rPr>
              <w:t>学员在地方性赛事获得前三名得2分；</w:t>
            </w:r>
            <w:r>
              <w:rPr>
                <w:rFonts w:ascii="宋体" w:hAnsi="宋体"/>
                <w:color w:val="auto"/>
                <w:kern w:val="0"/>
                <w:sz w:val="24"/>
                <w:highlight w:val="none"/>
              </w:rPr>
              <w:br w:type="textWrapping"/>
            </w:r>
            <w:r>
              <w:rPr>
                <w:rFonts w:hint="eastAsia" w:ascii="宋体" w:hAnsi="宋体"/>
                <w:color w:val="auto"/>
                <w:kern w:val="0"/>
                <w:sz w:val="24"/>
                <w:highlight w:val="none"/>
              </w:rPr>
              <w:t>提供学员与投标人培训协议及获奖证书原件的复印件，否则不得分；</w:t>
            </w:r>
            <w:r>
              <w:rPr>
                <w:rFonts w:ascii="宋体" w:hAnsi="宋体"/>
                <w:color w:val="auto"/>
                <w:kern w:val="0"/>
                <w:sz w:val="24"/>
                <w:highlight w:val="none"/>
              </w:rPr>
              <w:t>（取最优成绩，不重复得分）</w:t>
            </w:r>
          </w:p>
        </w:tc>
      </w:tr>
      <w:tr>
        <w:tblPrEx>
          <w:tblCellMar>
            <w:top w:w="0" w:type="dxa"/>
            <w:left w:w="108" w:type="dxa"/>
            <w:bottom w:w="0" w:type="dxa"/>
            <w:right w:w="108" w:type="dxa"/>
          </w:tblCellMar>
        </w:tblPrEx>
        <w:trPr>
          <w:trHeight w:val="1688" w:hRule="atLeast"/>
          <w:jc w:val="center"/>
        </w:trPr>
        <w:tc>
          <w:tcPr>
            <w:tcW w:w="1640" w:type="dxa"/>
            <w:vMerge w:val="continue"/>
            <w:tcBorders>
              <w:top w:val="nil"/>
              <w:left w:val="single" w:color="auto" w:sz="4" w:space="0"/>
              <w:bottom w:val="nil"/>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学员在省市级中小学生羽毛球比赛取得冠军得12分</w:t>
            </w:r>
            <w:r>
              <w:rPr>
                <w:rFonts w:ascii="宋体" w:hAnsi="宋体"/>
                <w:color w:val="auto"/>
                <w:kern w:val="0"/>
                <w:sz w:val="24"/>
                <w:highlight w:val="none"/>
              </w:rPr>
              <w:br w:type="textWrapping"/>
            </w:r>
            <w:r>
              <w:rPr>
                <w:rFonts w:ascii="宋体" w:hAnsi="宋体"/>
                <w:color w:val="auto"/>
                <w:kern w:val="0"/>
                <w:sz w:val="24"/>
                <w:highlight w:val="none"/>
              </w:rPr>
              <w:t>学员在省市级中小学生羽毛球比赛取得亚军得9分</w:t>
            </w:r>
            <w:r>
              <w:rPr>
                <w:rFonts w:ascii="宋体" w:hAnsi="宋体"/>
                <w:color w:val="auto"/>
                <w:kern w:val="0"/>
                <w:sz w:val="24"/>
                <w:highlight w:val="none"/>
              </w:rPr>
              <w:br w:type="textWrapping"/>
            </w:r>
            <w:r>
              <w:rPr>
                <w:rFonts w:ascii="宋体" w:hAnsi="宋体"/>
                <w:color w:val="auto"/>
                <w:kern w:val="0"/>
                <w:sz w:val="24"/>
                <w:highlight w:val="none"/>
              </w:rPr>
              <w:t>学员在省市级中小学生羽毛球比赛取得季军得6分</w:t>
            </w:r>
            <w:r>
              <w:rPr>
                <w:rFonts w:ascii="宋体" w:hAnsi="宋体"/>
                <w:color w:val="auto"/>
                <w:kern w:val="0"/>
                <w:sz w:val="24"/>
                <w:highlight w:val="none"/>
              </w:rPr>
              <w:br w:type="textWrapping"/>
            </w:r>
            <w:r>
              <w:rPr>
                <w:rFonts w:ascii="宋体" w:hAnsi="宋体"/>
                <w:color w:val="auto"/>
                <w:kern w:val="0"/>
                <w:sz w:val="24"/>
                <w:highlight w:val="none"/>
              </w:rPr>
              <w:t>学员在省市级中小学生羽毛球比赛取得优秀成绩得4分；</w:t>
            </w:r>
            <w:r>
              <w:rPr>
                <w:rFonts w:ascii="宋体" w:hAnsi="宋体"/>
                <w:color w:val="auto"/>
                <w:kern w:val="0"/>
                <w:sz w:val="24"/>
                <w:highlight w:val="none"/>
              </w:rPr>
              <w:br w:type="textWrapping"/>
            </w:r>
            <w:r>
              <w:rPr>
                <w:rFonts w:hint="eastAsia" w:ascii="宋体" w:hAnsi="宋体"/>
                <w:color w:val="auto"/>
                <w:kern w:val="0"/>
                <w:sz w:val="24"/>
                <w:highlight w:val="none"/>
              </w:rPr>
              <w:t>提供学员与投标人培训协议及获奖证书原件的复印件，否则不得分；</w:t>
            </w:r>
            <w:r>
              <w:rPr>
                <w:rFonts w:ascii="宋体" w:hAnsi="宋体"/>
                <w:color w:val="auto"/>
                <w:kern w:val="0"/>
                <w:sz w:val="24"/>
                <w:highlight w:val="none"/>
              </w:rPr>
              <w:t>（取最优成绩，不重复得分）</w:t>
            </w:r>
          </w:p>
        </w:tc>
      </w:tr>
      <w:tr>
        <w:tblPrEx>
          <w:tblCellMar>
            <w:top w:w="0" w:type="dxa"/>
            <w:left w:w="108" w:type="dxa"/>
            <w:bottom w:w="0" w:type="dxa"/>
            <w:right w:w="108" w:type="dxa"/>
          </w:tblCellMar>
        </w:tblPrEx>
        <w:trPr>
          <w:trHeight w:val="1299" w:hRule="atLeast"/>
          <w:jc w:val="center"/>
        </w:trPr>
        <w:tc>
          <w:tcPr>
            <w:tcW w:w="1640" w:type="dxa"/>
            <w:tcBorders>
              <w:top w:val="single" w:color="auto" w:sz="4" w:space="0"/>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发展规划</w:t>
            </w:r>
            <w:r>
              <w:rPr>
                <w:rFonts w:ascii="宋体" w:hAnsi="宋体"/>
                <w:color w:val="auto"/>
                <w:kern w:val="0"/>
                <w:sz w:val="24"/>
                <w:highlight w:val="none"/>
              </w:rPr>
              <w:br w:type="textWrapping"/>
            </w:r>
            <w:r>
              <w:rPr>
                <w:rFonts w:ascii="宋体" w:hAnsi="宋体"/>
                <w:color w:val="auto"/>
                <w:kern w:val="0"/>
                <w:sz w:val="24"/>
                <w:highlight w:val="none"/>
              </w:rPr>
              <w:t>（12分)</w:t>
            </w: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包括但不限于项目在健身中心未来的发展规划、活动开展计划等方案</w:t>
            </w:r>
            <w:r>
              <w:rPr>
                <w:rFonts w:ascii="宋体" w:hAnsi="宋体"/>
                <w:color w:val="auto"/>
                <w:kern w:val="0"/>
                <w:sz w:val="24"/>
                <w:highlight w:val="none"/>
              </w:rPr>
              <w:br w:type="textWrapping"/>
            </w:r>
            <w:r>
              <w:rPr>
                <w:rFonts w:ascii="宋体" w:hAnsi="宋体"/>
                <w:color w:val="auto"/>
                <w:kern w:val="0"/>
                <w:sz w:val="24"/>
                <w:highlight w:val="none"/>
              </w:rPr>
              <w:t>方案详实切合实际，落地可操作性强，得9—12分</w:t>
            </w:r>
            <w:r>
              <w:rPr>
                <w:rFonts w:ascii="宋体" w:hAnsi="宋体"/>
                <w:color w:val="auto"/>
                <w:kern w:val="0"/>
                <w:sz w:val="24"/>
                <w:highlight w:val="none"/>
              </w:rPr>
              <w:br w:type="textWrapping"/>
            </w:r>
            <w:r>
              <w:rPr>
                <w:rFonts w:ascii="宋体" w:hAnsi="宋体"/>
                <w:color w:val="auto"/>
                <w:kern w:val="0"/>
                <w:sz w:val="24"/>
                <w:highlight w:val="none"/>
              </w:rPr>
              <w:t>方案部分详实或部分落地可操作性强，得5—8分。</w:t>
            </w:r>
            <w:r>
              <w:rPr>
                <w:rFonts w:ascii="宋体" w:hAnsi="宋体"/>
                <w:color w:val="auto"/>
                <w:kern w:val="0"/>
                <w:sz w:val="24"/>
                <w:highlight w:val="none"/>
              </w:rPr>
              <w:br w:type="textWrapping"/>
            </w:r>
            <w:r>
              <w:rPr>
                <w:rFonts w:ascii="宋体" w:hAnsi="宋体"/>
                <w:color w:val="auto"/>
                <w:kern w:val="0"/>
                <w:sz w:val="24"/>
                <w:highlight w:val="none"/>
              </w:rPr>
              <w:t>方案阐述不够完整、不够合理可行、可操作性较弱，得0—4分。</w:t>
            </w:r>
          </w:p>
        </w:tc>
      </w:tr>
      <w:tr>
        <w:tblPrEx>
          <w:tblCellMar>
            <w:top w:w="0" w:type="dxa"/>
            <w:left w:w="108" w:type="dxa"/>
            <w:bottom w:w="0" w:type="dxa"/>
            <w:right w:w="108" w:type="dxa"/>
          </w:tblCellMar>
        </w:tblPrEx>
        <w:trPr>
          <w:trHeight w:val="705" w:hRule="atLeast"/>
          <w:jc w:val="center"/>
        </w:trPr>
        <w:tc>
          <w:tcPr>
            <w:tcW w:w="1640" w:type="dxa"/>
            <w:vMerge w:val="restart"/>
            <w:tcBorders>
              <w:top w:val="nil"/>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其他条件</w:t>
            </w:r>
            <w:r>
              <w:rPr>
                <w:rFonts w:ascii="宋体" w:hAnsi="宋体"/>
                <w:color w:val="auto"/>
                <w:kern w:val="0"/>
                <w:sz w:val="24"/>
                <w:highlight w:val="none"/>
              </w:rPr>
              <w:br w:type="textWrapping"/>
            </w:r>
            <w:r>
              <w:rPr>
                <w:rFonts w:ascii="宋体" w:hAnsi="宋体"/>
                <w:color w:val="auto"/>
                <w:kern w:val="0"/>
                <w:sz w:val="24"/>
                <w:highlight w:val="none"/>
              </w:rPr>
              <w:t>（13分）</w:t>
            </w: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教练团队得到知名运动品牌认可并赞助的得5分，</w:t>
            </w:r>
            <w:r>
              <w:rPr>
                <w:rFonts w:hint="eastAsia" w:ascii="宋体" w:hAnsi="宋体"/>
                <w:color w:val="auto"/>
                <w:kern w:val="0"/>
                <w:sz w:val="24"/>
                <w:highlight w:val="none"/>
              </w:rPr>
              <w:t>提供相关证明资料复印件，否则不得分；</w:t>
            </w:r>
          </w:p>
        </w:tc>
      </w:tr>
      <w:tr>
        <w:tblPrEx>
          <w:tblCellMar>
            <w:top w:w="0" w:type="dxa"/>
            <w:left w:w="108" w:type="dxa"/>
            <w:bottom w:w="0" w:type="dxa"/>
            <w:right w:w="108" w:type="dxa"/>
          </w:tblCellMar>
        </w:tblPrEx>
        <w:trPr>
          <w:trHeight w:val="705" w:hRule="atLeast"/>
          <w:jc w:val="center"/>
        </w:trPr>
        <w:tc>
          <w:tcPr>
            <w:tcW w:w="1640" w:type="dxa"/>
            <w:vMerge w:val="continue"/>
            <w:tcBorders>
              <w:top w:val="nil"/>
              <w:left w:val="single" w:color="auto" w:sz="4" w:space="0"/>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7567"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有能力且承诺在合作期间获得赞助商提供活动、赛事经费得8分。</w:t>
            </w:r>
            <w:r>
              <w:rPr>
                <w:rFonts w:hint="eastAsia" w:ascii="宋体" w:hAnsi="宋体"/>
                <w:color w:val="auto"/>
                <w:kern w:val="0"/>
                <w:sz w:val="24"/>
                <w:highlight w:val="none"/>
              </w:rPr>
              <w:t>提供相关承诺函，否则不得分。</w:t>
            </w:r>
          </w:p>
        </w:tc>
      </w:tr>
    </w:tbl>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2、价格分（10分）</w:t>
      </w:r>
    </w:p>
    <w:p>
      <w:pPr>
        <w:widowControl/>
        <w:shd w:val="clear" w:color="auto" w:fill="FFFFFD"/>
        <w:tabs>
          <w:tab w:val="left" w:pos="360"/>
          <w:tab w:val="left" w:pos="630"/>
        </w:tabs>
        <w:snapToGrid w:val="0"/>
        <w:spacing w:line="420" w:lineRule="exact"/>
        <w:ind w:firstLine="568" w:firstLineChars="237"/>
        <w:jc w:val="left"/>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kern w:val="0"/>
          <w:sz w:val="24"/>
          <w:highlight w:val="none"/>
        </w:rPr>
        <w:t>分成比例中</w:t>
      </w:r>
      <w:r>
        <w:rPr>
          <w:rFonts w:hint="eastAsia" w:ascii="宋体" w:hAnsi="宋体"/>
          <w:color w:val="auto"/>
          <w:kern w:val="0"/>
          <w:sz w:val="24"/>
          <w:highlight w:val="none"/>
        </w:rPr>
        <w:t>投标人</w:t>
      </w:r>
      <w:r>
        <w:rPr>
          <w:rFonts w:ascii="宋体" w:hAnsi="宋体"/>
          <w:color w:val="auto"/>
          <w:kern w:val="0"/>
          <w:sz w:val="24"/>
          <w:highlight w:val="none"/>
        </w:rPr>
        <w:t>自身比例</w:t>
      </w:r>
      <w:r>
        <w:rPr>
          <w:rFonts w:hint="eastAsia" w:ascii="宋体" w:hAnsi="宋体"/>
          <w:color w:val="auto"/>
          <w:sz w:val="24"/>
          <w:highlight w:val="none"/>
        </w:rPr>
        <w:t>低于或等于最高控制比例的，为有效投标报价。超最高控制比例的投标报价为无效投标报价。无效投标报价的投标文件不进行评审，也不得中标。</w:t>
      </w:r>
    </w:p>
    <w:p>
      <w:pPr>
        <w:widowControl/>
        <w:adjustRightInd w:val="0"/>
        <w:snapToGrid w:val="0"/>
        <w:spacing w:after="200" w:line="420" w:lineRule="exact"/>
        <w:jc w:val="center"/>
        <w:rPr>
          <w:rFonts w:hint="eastAsia" w:ascii="宋体" w:hAnsi="宋体"/>
          <w:bCs/>
          <w:color w:val="auto"/>
          <w:kern w:val="0"/>
          <w:sz w:val="24"/>
          <w:highlight w:val="none"/>
        </w:rPr>
      </w:pPr>
    </w:p>
    <w:p>
      <w:pPr>
        <w:widowControl/>
        <w:adjustRightInd w:val="0"/>
        <w:snapToGrid w:val="0"/>
        <w:spacing w:after="200" w:line="420" w:lineRule="exact"/>
        <w:jc w:val="center"/>
        <w:rPr>
          <w:rFonts w:ascii="宋体" w:hAnsi="宋体"/>
          <w:bCs/>
          <w:color w:val="auto"/>
          <w:kern w:val="0"/>
          <w:sz w:val="24"/>
          <w:highlight w:val="none"/>
        </w:rPr>
      </w:pPr>
      <w:r>
        <w:rPr>
          <w:rFonts w:ascii="宋体" w:hAnsi="宋体"/>
          <w:bCs/>
          <w:color w:val="auto"/>
          <w:kern w:val="0"/>
          <w:sz w:val="24"/>
          <w:highlight w:val="none"/>
        </w:rPr>
        <w:t>培训项目分成比例</w:t>
      </w:r>
    </w:p>
    <w:tbl>
      <w:tblPr>
        <w:tblStyle w:val="7"/>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756"/>
        <w:gridCol w:w="2403"/>
        <w:gridCol w:w="235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829"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标段</w:t>
            </w:r>
            <w:r>
              <w:rPr>
                <w:rFonts w:ascii="宋体" w:hAnsi="宋体"/>
                <w:bCs/>
                <w:color w:val="auto"/>
                <w:kern w:val="0"/>
                <w:sz w:val="24"/>
                <w:highlight w:val="none"/>
              </w:rPr>
              <w:t>号</w:t>
            </w:r>
          </w:p>
        </w:tc>
        <w:tc>
          <w:tcPr>
            <w:tcW w:w="1756"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项目类型</w:t>
            </w:r>
          </w:p>
        </w:tc>
        <w:tc>
          <w:tcPr>
            <w:tcW w:w="4753" w:type="dxa"/>
            <w:gridSpan w:val="2"/>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分成比例</w:t>
            </w:r>
          </w:p>
        </w:tc>
        <w:tc>
          <w:tcPr>
            <w:tcW w:w="1587"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1756"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2403"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招标人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（不低于）</w:t>
            </w:r>
          </w:p>
        </w:tc>
        <w:tc>
          <w:tcPr>
            <w:tcW w:w="2350"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投标人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（不高于）</w:t>
            </w:r>
          </w:p>
        </w:tc>
        <w:tc>
          <w:tcPr>
            <w:tcW w:w="1587" w:type="dxa"/>
            <w:vMerge w:val="continue"/>
            <w:noWrap w:val="0"/>
            <w:vAlign w:val="top"/>
          </w:tcPr>
          <w:p>
            <w:pPr>
              <w:widowControl/>
              <w:adjustRightInd w:val="0"/>
              <w:snapToGrid w:val="0"/>
              <w:spacing w:line="420" w:lineRule="exact"/>
              <w:jc w:val="center"/>
              <w:rPr>
                <w:rFonts w:ascii="宋体" w:hAnsi="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3</w:t>
            </w:r>
          </w:p>
        </w:tc>
        <w:tc>
          <w:tcPr>
            <w:tcW w:w="1756"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羽毛球</w:t>
            </w:r>
          </w:p>
        </w:tc>
        <w:tc>
          <w:tcPr>
            <w:tcW w:w="2403"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30%</w:t>
            </w:r>
          </w:p>
        </w:tc>
        <w:tc>
          <w:tcPr>
            <w:tcW w:w="2350"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70%</w:t>
            </w:r>
          </w:p>
        </w:tc>
        <w:tc>
          <w:tcPr>
            <w:tcW w:w="1587" w:type="dxa"/>
            <w:noWrap w:val="0"/>
            <w:vAlign w:val="center"/>
          </w:tcPr>
          <w:p>
            <w:pPr>
              <w:widowControl/>
              <w:adjustRightInd w:val="0"/>
              <w:snapToGrid w:val="0"/>
              <w:spacing w:line="420" w:lineRule="exact"/>
              <w:jc w:val="center"/>
              <w:rPr>
                <w:rFonts w:ascii="宋体" w:hAnsi="宋体"/>
                <w:bCs/>
                <w:color w:val="auto"/>
                <w:kern w:val="0"/>
                <w:sz w:val="24"/>
                <w:highlight w:val="none"/>
              </w:rPr>
            </w:pPr>
          </w:p>
        </w:tc>
      </w:tr>
    </w:tbl>
    <w:p>
      <w:pPr>
        <w:snapToGrid w:val="0"/>
        <w:spacing w:line="420" w:lineRule="exact"/>
        <w:ind w:firstLine="484" w:firstLineChars="202"/>
        <w:rPr>
          <w:rFonts w:hint="eastAsia" w:ascii="宋体" w:hAnsi="宋体"/>
          <w:color w:val="auto"/>
          <w:kern w:val="0"/>
          <w:sz w:val="24"/>
          <w:highlight w:val="none"/>
        </w:rPr>
      </w:pPr>
      <w:r>
        <w:rPr>
          <w:rFonts w:hint="eastAsia" w:ascii="宋体" w:hAnsi="宋体"/>
          <w:color w:val="auto"/>
          <w:kern w:val="0"/>
          <w:sz w:val="24"/>
          <w:highlight w:val="none"/>
        </w:rPr>
        <w:t>（2）</w:t>
      </w:r>
      <w:r>
        <w:rPr>
          <w:rFonts w:ascii="宋体" w:hAnsi="宋体"/>
          <w:color w:val="auto"/>
          <w:kern w:val="0"/>
          <w:sz w:val="24"/>
          <w:highlight w:val="none"/>
        </w:rPr>
        <w:t>价格分采用低价优先法计算，即满足招标文件要求且分成比例中</w:t>
      </w:r>
      <w:r>
        <w:rPr>
          <w:rFonts w:hint="eastAsia" w:ascii="宋体" w:hAnsi="宋体"/>
          <w:b/>
          <w:color w:val="auto"/>
          <w:kern w:val="0"/>
          <w:sz w:val="24"/>
          <w:highlight w:val="none"/>
        </w:rPr>
        <w:t>投标人</w:t>
      </w:r>
      <w:r>
        <w:rPr>
          <w:rFonts w:ascii="宋体" w:hAnsi="宋体"/>
          <w:b/>
          <w:color w:val="auto"/>
          <w:kern w:val="0"/>
          <w:sz w:val="24"/>
          <w:highlight w:val="none"/>
        </w:rPr>
        <w:t>自身比例最低的投标报价为评标基准价</w:t>
      </w:r>
      <w:r>
        <w:rPr>
          <w:rFonts w:ascii="宋体" w:hAnsi="宋体"/>
          <w:color w:val="auto"/>
          <w:kern w:val="0"/>
          <w:sz w:val="24"/>
          <w:highlight w:val="none"/>
        </w:rPr>
        <w:t>，其价格分为满分。其他投标人的价格分别按照下列公式计算：</w:t>
      </w:r>
    </w:p>
    <w:p>
      <w:pPr>
        <w:spacing w:line="360" w:lineRule="auto"/>
        <w:ind w:firstLine="480" w:firstLineChars="200"/>
        <w:rPr>
          <w:rFonts w:hint="eastAsia" w:ascii="宋体" w:hAnsi="宋体" w:cs="宋体"/>
          <w:b/>
          <w:bCs/>
          <w:color w:val="auto"/>
          <w:sz w:val="24"/>
          <w:highlight w:val="none"/>
        </w:rPr>
      </w:pPr>
      <w:r>
        <w:rPr>
          <w:rFonts w:ascii="宋体" w:hAnsi="宋体"/>
          <w:color w:val="auto"/>
          <w:kern w:val="0"/>
          <w:sz w:val="24"/>
          <w:highlight w:val="none"/>
        </w:rPr>
        <w:t>报价得分 =（评标基准价/报价）×</w:t>
      </w:r>
      <w:r>
        <w:rPr>
          <w:rFonts w:hint="eastAsia" w:ascii="宋体" w:hAnsi="宋体"/>
          <w:color w:val="auto"/>
          <w:kern w:val="0"/>
          <w:sz w:val="24"/>
          <w:highlight w:val="none"/>
        </w:rPr>
        <w:t>1</w:t>
      </w:r>
      <w:r>
        <w:rPr>
          <w:rFonts w:ascii="宋体" w:hAnsi="宋体"/>
          <w:color w:val="auto"/>
          <w:kern w:val="0"/>
          <w:sz w:val="24"/>
          <w:highlight w:val="none"/>
        </w:rPr>
        <w:t>0%×100</w:t>
      </w:r>
    </w:p>
    <w:p>
      <w:pPr>
        <w:spacing w:line="360" w:lineRule="auto"/>
        <w:ind w:firstLine="482" w:firstLineChars="200"/>
        <w:rPr>
          <w:rFonts w:hint="eastAsia" w:ascii="宋体" w:hAnsi="宋体"/>
          <w:b/>
          <w:color w:val="auto"/>
          <w:sz w:val="24"/>
          <w:highlight w:val="none"/>
        </w:rPr>
      </w:pPr>
      <w:r>
        <w:rPr>
          <w:rFonts w:hint="eastAsia" w:ascii="宋体" w:hAnsi="宋体" w:cs="宋体"/>
          <w:b/>
          <w:bCs/>
          <w:color w:val="auto"/>
          <w:sz w:val="24"/>
          <w:highlight w:val="none"/>
        </w:rPr>
        <w:t>(四)</w:t>
      </w:r>
      <w:r>
        <w:rPr>
          <w:rFonts w:ascii="宋体" w:hAnsi="宋体"/>
          <w:b/>
          <w:color w:val="auto"/>
          <w:sz w:val="24"/>
          <w:highlight w:val="none"/>
        </w:rPr>
        <w:t xml:space="preserve"> </w:t>
      </w:r>
      <w:r>
        <w:rPr>
          <w:rFonts w:hint="eastAsia" w:ascii="宋体" w:hAnsi="宋体"/>
          <w:b/>
          <w:color w:val="auto"/>
          <w:sz w:val="24"/>
          <w:highlight w:val="none"/>
        </w:rPr>
        <w:t>四标段（乒乓球）</w:t>
      </w:r>
    </w:p>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1、技术标（90分）</w:t>
      </w:r>
    </w:p>
    <w:tbl>
      <w:tblPr>
        <w:tblStyle w:val="7"/>
        <w:tblW w:w="9872" w:type="dxa"/>
        <w:jc w:val="center"/>
        <w:tblLayout w:type="autofit"/>
        <w:tblCellMar>
          <w:top w:w="0" w:type="dxa"/>
          <w:left w:w="108" w:type="dxa"/>
          <w:bottom w:w="0" w:type="dxa"/>
          <w:right w:w="108" w:type="dxa"/>
        </w:tblCellMar>
      </w:tblPr>
      <w:tblGrid>
        <w:gridCol w:w="1760"/>
        <w:gridCol w:w="8112"/>
      </w:tblGrid>
      <w:tr>
        <w:tblPrEx>
          <w:tblCellMar>
            <w:top w:w="0" w:type="dxa"/>
            <w:left w:w="108" w:type="dxa"/>
            <w:bottom w:w="0" w:type="dxa"/>
            <w:right w:w="108" w:type="dxa"/>
          </w:tblCellMar>
        </w:tblPrEx>
        <w:trPr>
          <w:trHeight w:val="675" w:hRule="atLeast"/>
          <w:jc w:val="center"/>
        </w:trPr>
        <w:tc>
          <w:tcPr>
            <w:tcW w:w="1760"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师资力量</w:t>
            </w:r>
            <w:r>
              <w:rPr>
                <w:rFonts w:ascii="宋体" w:hAnsi="宋体"/>
                <w:color w:val="auto"/>
                <w:kern w:val="0"/>
                <w:sz w:val="24"/>
                <w:highlight w:val="none"/>
              </w:rPr>
              <w:br w:type="textWrapping"/>
            </w:r>
            <w:r>
              <w:rPr>
                <w:rFonts w:ascii="宋体" w:hAnsi="宋体"/>
                <w:color w:val="auto"/>
                <w:kern w:val="0"/>
                <w:sz w:val="24"/>
                <w:highlight w:val="none"/>
              </w:rPr>
              <w:t>（28分）</w:t>
            </w:r>
          </w:p>
        </w:tc>
        <w:tc>
          <w:tcPr>
            <w:tcW w:w="8112" w:type="dxa"/>
            <w:tcBorders>
              <w:top w:val="single" w:color="auto" w:sz="4" w:space="0"/>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教练人数：全职教练每人得5分，最多10分</w:t>
            </w:r>
            <w:r>
              <w:rPr>
                <w:rFonts w:hint="eastAsia" w:ascii="宋体" w:hAnsi="宋体"/>
                <w:color w:val="auto"/>
                <w:kern w:val="0"/>
                <w:sz w:val="24"/>
                <w:highlight w:val="none"/>
              </w:rPr>
              <w:t>。提供与投标人签订劳动合同、近6个月的社保缴费记录及证书原件的复印件，否则不得分</w:t>
            </w:r>
            <w:r>
              <w:rPr>
                <w:rFonts w:ascii="宋体" w:hAnsi="宋体"/>
                <w:color w:val="auto"/>
                <w:kern w:val="0"/>
                <w:sz w:val="24"/>
                <w:highlight w:val="none"/>
              </w:rPr>
              <w:t>；</w:t>
            </w:r>
          </w:p>
        </w:tc>
      </w:tr>
      <w:tr>
        <w:tblPrEx>
          <w:tblCellMar>
            <w:top w:w="0" w:type="dxa"/>
            <w:left w:w="108" w:type="dxa"/>
            <w:bottom w:w="0" w:type="dxa"/>
            <w:right w:w="108" w:type="dxa"/>
          </w:tblCellMar>
        </w:tblPrEx>
        <w:trPr>
          <w:trHeight w:val="1820" w:hRule="atLeast"/>
          <w:jc w:val="center"/>
        </w:trPr>
        <w:tc>
          <w:tcPr>
            <w:tcW w:w="1760" w:type="dxa"/>
            <w:vMerge w:val="continue"/>
            <w:tcBorders>
              <w:top w:val="nil"/>
              <w:left w:val="single" w:color="auto" w:sz="4" w:space="0"/>
              <w:bottom w:val="single" w:color="000000"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教练具有国家级证书得5分，最多得5分；</w:t>
            </w:r>
            <w:r>
              <w:rPr>
                <w:rFonts w:ascii="宋体" w:hAnsi="宋体"/>
                <w:color w:val="auto"/>
                <w:kern w:val="0"/>
                <w:sz w:val="24"/>
                <w:highlight w:val="none"/>
              </w:rPr>
              <w:br w:type="textWrapping"/>
            </w:r>
            <w:r>
              <w:rPr>
                <w:rFonts w:ascii="宋体" w:hAnsi="宋体"/>
                <w:color w:val="auto"/>
                <w:kern w:val="0"/>
                <w:sz w:val="24"/>
                <w:highlight w:val="none"/>
              </w:rPr>
              <w:t>教练具有省级证书得3分，最多得3分；</w:t>
            </w:r>
            <w:r>
              <w:rPr>
                <w:rFonts w:ascii="宋体" w:hAnsi="宋体"/>
                <w:color w:val="auto"/>
                <w:kern w:val="0"/>
                <w:sz w:val="24"/>
                <w:highlight w:val="none"/>
              </w:rPr>
              <w:br w:type="textWrapping"/>
            </w:r>
            <w:r>
              <w:rPr>
                <w:rFonts w:ascii="宋体" w:hAnsi="宋体"/>
                <w:color w:val="auto"/>
                <w:kern w:val="0"/>
                <w:sz w:val="24"/>
                <w:highlight w:val="none"/>
              </w:rPr>
              <w:t>教练具有市级证书得2分，最多得2分；</w:t>
            </w:r>
            <w:r>
              <w:rPr>
                <w:rFonts w:ascii="宋体" w:hAnsi="宋体"/>
                <w:color w:val="auto"/>
                <w:kern w:val="0"/>
                <w:sz w:val="24"/>
                <w:highlight w:val="none"/>
              </w:rPr>
              <w:br w:type="textWrapping"/>
            </w:r>
            <w:r>
              <w:rPr>
                <w:rFonts w:ascii="宋体" w:hAnsi="宋体"/>
                <w:color w:val="auto"/>
                <w:kern w:val="0"/>
                <w:sz w:val="24"/>
                <w:highlight w:val="none"/>
              </w:rPr>
              <w:t>最多得10分。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r>
              <w:rPr>
                <w:rFonts w:ascii="宋体" w:hAnsi="宋体"/>
                <w:color w:val="auto"/>
                <w:kern w:val="0"/>
                <w:sz w:val="24"/>
                <w:highlight w:val="none"/>
              </w:rPr>
              <w:br w:type="textWrapping"/>
            </w:r>
            <w:r>
              <w:rPr>
                <w:rFonts w:ascii="宋体" w:hAnsi="宋体"/>
                <w:color w:val="auto"/>
                <w:kern w:val="0"/>
                <w:sz w:val="24"/>
                <w:highlight w:val="none"/>
              </w:rPr>
              <w:t>（提供教练证、社会体育指导员证等证书，同一教练取最高级别证书）</w:t>
            </w:r>
          </w:p>
        </w:tc>
      </w:tr>
      <w:tr>
        <w:tblPrEx>
          <w:tblCellMar>
            <w:top w:w="0" w:type="dxa"/>
            <w:left w:w="108" w:type="dxa"/>
            <w:bottom w:w="0" w:type="dxa"/>
            <w:right w:w="108" w:type="dxa"/>
          </w:tblCellMar>
        </w:tblPrEx>
        <w:trPr>
          <w:trHeight w:val="1456" w:hRule="atLeast"/>
          <w:jc w:val="center"/>
        </w:trPr>
        <w:tc>
          <w:tcPr>
            <w:tcW w:w="1760" w:type="dxa"/>
            <w:vMerge w:val="continue"/>
            <w:tcBorders>
              <w:top w:val="nil"/>
              <w:left w:val="single" w:color="auto" w:sz="4" w:space="0"/>
              <w:bottom w:val="single" w:color="000000"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教练曾获国家级比赛前三名，每有一名得5分；</w:t>
            </w:r>
            <w:r>
              <w:rPr>
                <w:rFonts w:ascii="宋体" w:hAnsi="宋体"/>
                <w:color w:val="auto"/>
                <w:kern w:val="0"/>
                <w:sz w:val="24"/>
                <w:highlight w:val="none"/>
              </w:rPr>
              <w:br w:type="textWrapping"/>
            </w:r>
            <w:r>
              <w:rPr>
                <w:rFonts w:ascii="宋体" w:hAnsi="宋体"/>
                <w:color w:val="auto"/>
                <w:kern w:val="0"/>
                <w:sz w:val="24"/>
                <w:highlight w:val="none"/>
              </w:rPr>
              <w:t>教练曾获省级比赛前三名，每有一名得3分；</w:t>
            </w:r>
            <w:r>
              <w:rPr>
                <w:rFonts w:ascii="宋体" w:hAnsi="宋体"/>
                <w:color w:val="auto"/>
                <w:kern w:val="0"/>
                <w:sz w:val="24"/>
                <w:highlight w:val="none"/>
              </w:rPr>
              <w:br w:type="textWrapping"/>
            </w:r>
            <w:r>
              <w:rPr>
                <w:rFonts w:ascii="宋体" w:hAnsi="宋体"/>
                <w:color w:val="auto"/>
                <w:kern w:val="0"/>
                <w:sz w:val="24"/>
                <w:highlight w:val="none"/>
              </w:rPr>
              <w:t>教练曾获市级比赛前三名，每有一名得2分；</w:t>
            </w:r>
            <w:r>
              <w:rPr>
                <w:rFonts w:ascii="宋体" w:hAnsi="宋体"/>
                <w:color w:val="auto"/>
                <w:kern w:val="0"/>
                <w:sz w:val="24"/>
                <w:highlight w:val="none"/>
              </w:rPr>
              <w:br w:type="textWrapping"/>
            </w:r>
            <w:r>
              <w:rPr>
                <w:rFonts w:ascii="宋体" w:hAnsi="宋体"/>
                <w:color w:val="auto"/>
                <w:kern w:val="0"/>
                <w:sz w:val="24"/>
                <w:highlight w:val="none"/>
              </w:rPr>
              <w:t>本项目最多得8分。</w:t>
            </w:r>
            <w:r>
              <w:rPr>
                <w:rFonts w:hint="eastAsia" w:ascii="宋体" w:hAnsi="宋体"/>
                <w:color w:val="auto"/>
                <w:kern w:val="0"/>
                <w:sz w:val="24"/>
                <w:highlight w:val="none"/>
              </w:rPr>
              <w:t>提供与投标人签订劳动合同、证书原件的复印件，否则不得分</w:t>
            </w:r>
            <w:r>
              <w:rPr>
                <w:rFonts w:ascii="宋体" w:hAnsi="宋体"/>
                <w:color w:val="auto"/>
                <w:kern w:val="0"/>
                <w:sz w:val="24"/>
                <w:highlight w:val="none"/>
              </w:rPr>
              <w:t>；</w:t>
            </w:r>
          </w:p>
        </w:tc>
      </w:tr>
      <w:tr>
        <w:tblPrEx>
          <w:tblCellMar>
            <w:top w:w="0" w:type="dxa"/>
            <w:left w:w="108" w:type="dxa"/>
            <w:bottom w:w="0" w:type="dxa"/>
            <w:right w:w="108" w:type="dxa"/>
          </w:tblCellMar>
        </w:tblPrEx>
        <w:trPr>
          <w:trHeight w:val="1405" w:hRule="atLeast"/>
          <w:jc w:val="center"/>
        </w:trPr>
        <w:tc>
          <w:tcPr>
            <w:tcW w:w="1760" w:type="dxa"/>
            <w:vMerge w:val="restart"/>
            <w:tcBorders>
              <w:top w:val="nil"/>
              <w:left w:val="single" w:color="auto" w:sz="4" w:space="0"/>
              <w:bottom w:val="single" w:color="000000"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教学成果</w:t>
            </w:r>
            <w:r>
              <w:rPr>
                <w:rFonts w:ascii="宋体" w:hAnsi="宋体"/>
                <w:color w:val="auto"/>
                <w:kern w:val="0"/>
                <w:sz w:val="24"/>
                <w:highlight w:val="none"/>
              </w:rPr>
              <w:br w:type="textWrapping"/>
            </w:r>
            <w:r>
              <w:rPr>
                <w:rFonts w:ascii="宋体" w:hAnsi="宋体"/>
                <w:color w:val="auto"/>
                <w:kern w:val="0"/>
                <w:sz w:val="24"/>
                <w:highlight w:val="none"/>
              </w:rPr>
              <w:t>（30分）</w:t>
            </w: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学员获得国家级比赛前三名，每有一名得5分；</w:t>
            </w:r>
            <w:r>
              <w:rPr>
                <w:rFonts w:ascii="宋体" w:hAnsi="宋体"/>
                <w:color w:val="auto"/>
                <w:kern w:val="0"/>
                <w:sz w:val="24"/>
                <w:highlight w:val="none"/>
              </w:rPr>
              <w:br w:type="textWrapping"/>
            </w:r>
            <w:r>
              <w:rPr>
                <w:rFonts w:ascii="宋体" w:hAnsi="宋体"/>
                <w:color w:val="auto"/>
                <w:kern w:val="0"/>
                <w:sz w:val="24"/>
                <w:highlight w:val="none"/>
              </w:rPr>
              <w:t>学员获得省级比赛前三名，每有一名得3分；</w:t>
            </w:r>
            <w:r>
              <w:rPr>
                <w:rFonts w:ascii="宋体" w:hAnsi="宋体"/>
                <w:color w:val="auto"/>
                <w:kern w:val="0"/>
                <w:sz w:val="24"/>
                <w:highlight w:val="none"/>
              </w:rPr>
              <w:br w:type="textWrapping"/>
            </w:r>
            <w:r>
              <w:rPr>
                <w:rFonts w:ascii="宋体" w:hAnsi="宋体"/>
                <w:color w:val="auto"/>
                <w:kern w:val="0"/>
                <w:sz w:val="24"/>
                <w:highlight w:val="none"/>
              </w:rPr>
              <w:t>学员获得市级比赛前三名，每有一名得2分；</w:t>
            </w:r>
            <w:r>
              <w:rPr>
                <w:rFonts w:ascii="宋体" w:hAnsi="宋体"/>
                <w:color w:val="auto"/>
                <w:kern w:val="0"/>
                <w:sz w:val="24"/>
                <w:highlight w:val="none"/>
              </w:rPr>
              <w:br w:type="textWrapping"/>
            </w:r>
            <w:r>
              <w:rPr>
                <w:rFonts w:ascii="宋体" w:hAnsi="宋体"/>
                <w:color w:val="auto"/>
                <w:kern w:val="0"/>
                <w:sz w:val="24"/>
                <w:highlight w:val="none"/>
              </w:rPr>
              <w:t>本项目最多得15分。</w:t>
            </w:r>
            <w:r>
              <w:rPr>
                <w:rFonts w:hint="eastAsia" w:ascii="宋体" w:hAnsi="宋体"/>
                <w:color w:val="auto"/>
                <w:kern w:val="0"/>
                <w:sz w:val="24"/>
                <w:highlight w:val="none"/>
              </w:rPr>
              <w:t>提供学员与投标人培训协议及获奖证书原件的复印件，否则不得分；</w:t>
            </w:r>
          </w:p>
        </w:tc>
      </w:tr>
      <w:tr>
        <w:tblPrEx>
          <w:tblCellMar>
            <w:top w:w="0" w:type="dxa"/>
            <w:left w:w="108" w:type="dxa"/>
            <w:bottom w:w="0" w:type="dxa"/>
            <w:right w:w="108" w:type="dxa"/>
          </w:tblCellMar>
        </w:tblPrEx>
        <w:trPr>
          <w:trHeight w:val="1273" w:hRule="atLeast"/>
          <w:jc w:val="center"/>
        </w:trPr>
        <w:tc>
          <w:tcPr>
            <w:tcW w:w="1760" w:type="dxa"/>
            <w:vMerge w:val="continue"/>
            <w:tcBorders>
              <w:top w:val="nil"/>
              <w:left w:val="single" w:color="auto" w:sz="4" w:space="0"/>
              <w:bottom w:val="single" w:color="000000"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学员获得国家一级运动员，每有一名得5分；</w:t>
            </w:r>
            <w:r>
              <w:rPr>
                <w:rFonts w:ascii="宋体" w:hAnsi="宋体"/>
                <w:color w:val="auto"/>
                <w:kern w:val="0"/>
                <w:sz w:val="24"/>
                <w:highlight w:val="none"/>
              </w:rPr>
              <w:br w:type="textWrapping"/>
            </w:r>
            <w:r>
              <w:rPr>
                <w:rFonts w:ascii="宋体" w:hAnsi="宋体"/>
                <w:color w:val="auto"/>
                <w:kern w:val="0"/>
                <w:sz w:val="24"/>
                <w:highlight w:val="none"/>
              </w:rPr>
              <w:t>学员获得国家二级运动员，每有一名得2分；</w:t>
            </w:r>
            <w:r>
              <w:rPr>
                <w:rFonts w:ascii="宋体" w:hAnsi="宋体"/>
                <w:color w:val="auto"/>
                <w:kern w:val="0"/>
                <w:sz w:val="24"/>
                <w:highlight w:val="none"/>
              </w:rPr>
              <w:br w:type="textWrapping"/>
            </w:r>
            <w:r>
              <w:rPr>
                <w:rFonts w:ascii="宋体" w:hAnsi="宋体"/>
                <w:color w:val="auto"/>
                <w:kern w:val="0"/>
                <w:sz w:val="24"/>
                <w:highlight w:val="none"/>
              </w:rPr>
              <w:t>同一学员取最高级别，本项目最多15分。</w:t>
            </w:r>
            <w:r>
              <w:rPr>
                <w:rFonts w:hint="eastAsia" w:ascii="宋体" w:hAnsi="宋体"/>
                <w:color w:val="auto"/>
                <w:kern w:val="0"/>
                <w:sz w:val="24"/>
                <w:highlight w:val="none"/>
              </w:rPr>
              <w:t>提供学员与投标人培训协议及获奖证书原件的复印件，否则不得分；</w:t>
            </w:r>
          </w:p>
        </w:tc>
      </w:tr>
      <w:tr>
        <w:tblPrEx>
          <w:tblCellMar>
            <w:top w:w="0" w:type="dxa"/>
            <w:left w:w="108" w:type="dxa"/>
            <w:bottom w:w="0" w:type="dxa"/>
            <w:right w:w="108" w:type="dxa"/>
          </w:tblCellMar>
        </w:tblPrEx>
        <w:trPr>
          <w:trHeight w:val="769" w:hRule="atLeast"/>
          <w:jc w:val="center"/>
        </w:trPr>
        <w:tc>
          <w:tcPr>
            <w:tcW w:w="1760" w:type="dxa"/>
            <w:tcBorders>
              <w:top w:val="nil"/>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赛事组织</w:t>
            </w:r>
            <w:r>
              <w:rPr>
                <w:rFonts w:ascii="宋体" w:hAnsi="宋体"/>
                <w:color w:val="auto"/>
                <w:kern w:val="0"/>
                <w:sz w:val="24"/>
                <w:highlight w:val="none"/>
              </w:rPr>
              <w:br w:type="textWrapping"/>
            </w:r>
            <w:r>
              <w:rPr>
                <w:rFonts w:ascii="宋体" w:hAnsi="宋体"/>
                <w:color w:val="auto"/>
                <w:kern w:val="0"/>
                <w:sz w:val="24"/>
                <w:highlight w:val="none"/>
              </w:rPr>
              <w:t>（10分）</w:t>
            </w: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hint="eastAsia" w:ascii="宋体" w:hAnsi="宋体"/>
                <w:color w:val="auto"/>
                <w:kern w:val="0"/>
                <w:sz w:val="24"/>
                <w:highlight w:val="none"/>
              </w:rPr>
              <w:t>投标人</w:t>
            </w:r>
            <w:r>
              <w:rPr>
                <w:rFonts w:ascii="宋体" w:hAnsi="宋体"/>
                <w:color w:val="auto"/>
                <w:kern w:val="0"/>
                <w:sz w:val="24"/>
                <w:highlight w:val="none"/>
              </w:rPr>
              <w:t>近三年</w:t>
            </w:r>
            <w:r>
              <w:rPr>
                <w:rFonts w:hint="eastAsia" w:ascii="宋体" w:hAnsi="宋体"/>
                <w:color w:val="auto"/>
                <w:kern w:val="0"/>
                <w:sz w:val="24"/>
                <w:highlight w:val="none"/>
              </w:rPr>
              <w:t>（2019年1月至今）</w:t>
            </w:r>
            <w:r>
              <w:rPr>
                <w:rFonts w:ascii="宋体" w:hAnsi="宋体"/>
                <w:color w:val="auto"/>
                <w:kern w:val="0"/>
                <w:sz w:val="24"/>
                <w:highlight w:val="none"/>
              </w:rPr>
              <w:t>组织过市级及以上乒乓球赛事，每组织一次得5分，最多得10分。</w:t>
            </w:r>
            <w:r>
              <w:rPr>
                <w:rFonts w:hint="eastAsia" w:ascii="宋体" w:hAnsi="宋体"/>
                <w:color w:val="auto"/>
                <w:kern w:val="0"/>
                <w:sz w:val="24"/>
                <w:highlight w:val="none"/>
              </w:rPr>
              <w:t>提供相关证明资料复印件，否则不得分；</w:t>
            </w:r>
          </w:p>
        </w:tc>
      </w:tr>
      <w:tr>
        <w:tblPrEx>
          <w:tblCellMar>
            <w:top w:w="0" w:type="dxa"/>
            <w:left w:w="108" w:type="dxa"/>
            <w:bottom w:w="0" w:type="dxa"/>
            <w:right w:w="108" w:type="dxa"/>
          </w:tblCellMar>
        </w:tblPrEx>
        <w:trPr>
          <w:trHeight w:val="1546" w:hRule="atLeast"/>
          <w:jc w:val="center"/>
        </w:trPr>
        <w:tc>
          <w:tcPr>
            <w:tcW w:w="1760" w:type="dxa"/>
            <w:tcBorders>
              <w:top w:val="nil"/>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未来规划</w:t>
            </w:r>
            <w:r>
              <w:rPr>
                <w:rFonts w:ascii="宋体" w:hAnsi="宋体"/>
                <w:color w:val="auto"/>
                <w:kern w:val="0"/>
                <w:sz w:val="24"/>
                <w:highlight w:val="none"/>
              </w:rPr>
              <w:br w:type="textWrapping"/>
            </w:r>
            <w:r>
              <w:rPr>
                <w:rFonts w:ascii="宋体" w:hAnsi="宋体"/>
                <w:color w:val="auto"/>
                <w:kern w:val="0"/>
                <w:sz w:val="24"/>
                <w:highlight w:val="none"/>
              </w:rPr>
              <w:t>（12分)</w:t>
            </w: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包括但不限于项目在健身中心未来的发展规划、活动开展计划等方案</w:t>
            </w:r>
            <w:r>
              <w:rPr>
                <w:rFonts w:ascii="宋体" w:hAnsi="宋体"/>
                <w:color w:val="auto"/>
                <w:kern w:val="0"/>
                <w:sz w:val="24"/>
                <w:highlight w:val="none"/>
              </w:rPr>
              <w:br w:type="textWrapping"/>
            </w:r>
            <w:r>
              <w:rPr>
                <w:rFonts w:ascii="宋体" w:hAnsi="宋体"/>
                <w:color w:val="auto"/>
                <w:kern w:val="0"/>
                <w:sz w:val="24"/>
                <w:highlight w:val="none"/>
              </w:rPr>
              <w:t>方案详实切合实际，落地可操作性强，得9—12分</w:t>
            </w:r>
            <w:r>
              <w:rPr>
                <w:rFonts w:ascii="宋体" w:hAnsi="宋体"/>
                <w:color w:val="auto"/>
                <w:kern w:val="0"/>
                <w:sz w:val="24"/>
                <w:highlight w:val="none"/>
              </w:rPr>
              <w:br w:type="textWrapping"/>
            </w:r>
            <w:r>
              <w:rPr>
                <w:rFonts w:ascii="宋体" w:hAnsi="宋体"/>
                <w:color w:val="auto"/>
                <w:kern w:val="0"/>
                <w:sz w:val="24"/>
                <w:highlight w:val="none"/>
              </w:rPr>
              <w:t>方案部分详实或部分落地可操作性强，得5—8分。</w:t>
            </w:r>
            <w:r>
              <w:rPr>
                <w:rFonts w:ascii="宋体" w:hAnsi="宋体"/>
                <w:color w:val="auto"/>
                <w:kern w:val="0"/>
                <w:sz w:val="24"/>
                <w:highlight w:val="none"/>
              </w:rPr>
              <w:br w:type="textWrapping"/>
            </w:r>
            <w:r>
              <w:rPr>
                <w:rFonts w:ascii="宋体" w:hAnsi="宋体"/>
                <w:color w:val="auto"/>
                <w:kern w:val="0"/>
                <w:sz w:val="24"/>
                <w:highlight w:val="none"/>
              </w:rPr>
              <w:t>方案阐述不够完整、不够合理可行、可操作性较弱，得0—4分。</w:t>
            </w:r>
          </w:p>
        </w:tc>
      </w:tr>
      <w:tr>
        <w:tblPrEx>
          <w:tblCellMar>
            <w:top w:w="0" w:type="dxa"/>
            <w:left w:w="108" w:type="dxa"/>
            <w:bottom w:w="0" w:type="dxa"/>
            <w:right w:w="108" w:type="dxa"/>
          </w:tblCellMar>
        </w:tblPrEx>
        <w:trPr>
          <w:trHeight w:val="1125" w:hRule="atLeast"/>
          <w:jc w:val="center"/>
        </w:trPr>
        <w:tc>
          <w:tcPr>
            <w:tcW w:w="1760" w:type="dxa"/>
            <w:tcBorders>
              <w:top w:val="nil"/>
              <w:left w:val="single" w:color="auto" w:sz="4" w:space="0"/>
              <w:bottom w:val="single" w:color="auto" w:sz="4" w:space="0"/>
              <w:right w:val="single" w:color="auto" w:sz="4" w:space="0"/>
            </w:tcBorders>
            <w:noWrap w:val="0"/>
            <w:vAlign w:val="center"/>
          </w:tcPr>
          <w:p>
            <w:pPr>
              <w:widowControl/>
              <w:spacing w:line="420" w:lineRule="exact"/>
              <w:jc w:val="center"/>
              <w:rPr>
                <w:rFonts w:ascii="宋体" w:hAnsi="宋体"/>
                <w:color w:val="auto"/>
                <w:kern w:val="0"/>
                <w:sz w:val="24"/>
                <w:highlight w:val="none"/>
              </w:rPr>
            </w:pPr>
            <w:r>
              <w:rPr>
                <w:rFonts w:ascii="宋体" w:hAnsi="宋体"/>
                <w:color w:val="auto"/>
                <w:kern w:val="0"/>
                <w:sz w:val="24"/>
                <w:highlight w:val="none"/>
              </w:rPr>
              <w:t>其它条件</w:t>
            </w:r>
            <w:r>
              <w:rPr>
                <w:rFonts w:ascii="宋体" w:hAnsi="宋体"/>
                <w:color w:val="auto"/>
                <w:kern w:val="0"/>
                <w:sz w:val="24"/>
                <w:highlight w:val="none"/>
              </w:rPr>
              <w:br w:type="textWrapping"/>
            </w:r>
            <w:r>
              <w:rPr>
                <w:rFonts w:ascii="宋体" w:hAnsi="宋体"/>
                <w:color w:val="auto"/>
                <w:kern w:val="0"/>
                <w:sz w:val="24"/>
                <w:highlight w:val="none"/>
              </w:rPr>
              <w:t>（10分）</w:t>
            </w:r>
          </w:p>
        </w:tc>
        <w:tc>
          <w:tcPr>
            <w:tcW w:w="8112" w:type="dxa"/>
            <w:tcBorders>
              <w:top w:val="nil"/>
              <w:left w:val="nil"/>
              <w:bottom w:val="single" w:color="auto" w:sz="4" w:space="0"/>
              <w:right w:val="single" w:color="auto" w:sz="4" w:space="0"/>
            </w:tcBorders>
            <w:noWrap w:val="0"/>
            <w:vAlign w:val="center"/>
          </w:tcPr>
          <w:p>
            <w:pPr>
              <w:widowControl/>
              <w:spacing w:line="420" w:lineRule="exact"/>
              <w:jc w:val="left"/>
              <w:rPr>
                <w:rFonts w:ascii="宋体" w:hAnsi="宋体"/>
                <w:color w:val="auto"/>
                <w:kern w:val="0"/>
                <w:sz w:val="24"/>
                <w:highlight w:val="none"/>
              </w:rPr>
            </w:pPr>
            <w:r>
              <w:rPr>
                <w:rFonts w:ascii="宋体" w:hAnsi="宋体"/>
                <w:color w:val="auto"/>
                <w:kern w:val="0"/>
                <w:sz w:val="24"/>
                <w:highlight w:val="none"/>
              </w:rPr>
              <w:t>获得考级单位、训练基地等官方资质，每有一个得5分,最多得10分。</w:t>
            </w:r>
            <w:r>
              <w:rPr>
                <w:rFonts w:hint="eastAsia" w:ascii="宋体" w:hAnsi="宋体"/>
                <w:color w:val="auto"/>
                <w:kern w:val="0"/>
                <w:sz w:val="24"/>
                <w:highlight w:val="none"/>
              </w:rPr>
              <w:t>提供相关证明资料复印件，否则不得分。</w:t>
            </w:r>
          </w:p>
        </w:tc>
      </w:tr>
    </w:tbl>
    <w:p>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2、价格分（10分）</w:t>
      </w:r>
    </w:p>
    <w:p>
      <w:pPr>
        <w:widowControl/>
        <w:shd w:val="clear" w:color="auto" w:fill="FFFFFD"/>
        <w:tabs>
          <w:tab w:val="left" w:pos="360"/>
          <w:tab w:val="left" w:pos="630"/>
        </w:tabs>
        <w:snapToGrid w:val="0"/>
        <w:spacing w:line="420" w:lineRule="exact"/>
        <w:ind w:firstLine="568" w:firstLineChars="237"/>
        <w:jc w:val="left"/>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kern w:val="0"/>
          <w:sz w:val="24"/>
          <w:highlight w:val="none"/>
        </w:rPr>
        <w:t>分成比例中</w:t>
      </w:r>
      <w:r>
        <w:rPr>
          <w:rFonts w:hint="eastAsia" w:ascii="宋体" w:hAnsi="宋体"/>
          <w:color w:val="auto"/>
          <w:kern w:val="0"/>
          <w:sz w:val="24"/>
          <w:highlight w:val="none"/>
        </w:rPr>
        <w:t>投标人</w:t>
      </w:r>
      <w:r>
        <w:rPr>
          <w:rFonts w:ascii="宋体" w:hAnsi="宋体"/>
          <w:color w:val="auto"/>
          <w:kern w:val="0"/>
          <w:sz w:val="24"/>
          <w:highlight w:val="none"/>
        </w:rPr>
        <w:t>自身比例</w:t>
      </w:r>
      <w:r>
        <w:rPr>
          <w:rFonts w:hint="eastAsia" w:ascii="宋体" w:hAnsi="宋体"/>
          <w:color w:val="auto"/>
          <w:sz w:val="24"/>
          <w:highlight w:val="none"/>
        </w:rPr>
        <w:t>低于或等于最高控制比例的，为有效投标报价。超最高控制比例的投标报价为无效投标报价。无效投标报价的投标文件不进行评审，也不得中标。</w:t>
      </w:r>
    </w:p>
    <w:p>
      <w:pPr>
        <w:widowControl/>
        <w:adjustRightInd w:val="0"/>
        <w:snapToGrid w:val="0"/>
        <w:spacing w:after="200" w:line="420" w:lineRule="exact"/>
        <w:jc w:val="center"/>
        <w:rPr>
          <w:rFonts w:ascii="宋体" w:hAnsi="宋体"/>
          <w:bCs/>
          <w:color w:val="auto"/>
          <w:kern w:val="0"/>
          <w:sz w:val="24"/>
          <w:highlight w:val="none"/>
        </w:rPr>
      </w:pPr>
      <w:r>
        <w:rPr>
          <w:rFonts w:ascii="宋体" w:hAnsi="宋体"/>
          <w:bCs/>
          <w:color w:val="auto"/>
          <w:kern w:val="0"/>
          <w:sz w:val="24"/>
          <w:highlight w:val="none"/>
        </w:rPr>
        <w:t>培训项目分成比例</w:t>
      </w:r>
    </w:p>
    <w:tbl>
      <w:tblPr>
        <w:tblStyle w:val="7"/>
        <w:tblW w:w="89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756"/>
        <w:gridCol w:w="2403"/>
        <w:gridCol w:w="235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829"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标段</w:t>
            </w:r>
            <w:r>
              <w:rPr>
                <w:rFonts w:ascii="宋体" w:hAnsi="宋体"/>
                <w:bCs/>
                <w:color w:val="auto"/>
                <w:kern w:val="0"/>
                <w:sz w:val="24"/>
                <w:highlight w:val="none"/>
              </w:rPr>
              <w:t>号</w:t>
            </w:r>
          </w:p>
        </w:tc>
        <w:tc>
          <w:tcPr>
            <w:tcW w:w="1756"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项目类型</w:t>
            </w:r>
          </w:p>
        </w:tc>
        <w:tc>
          <w:tcPr>
            <w:tcW w:w="4753" w:type="dxa"/>
            <w:gridSpan w:val="2"/>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分成比例</w:t>
            </w:r>
          </w:p>
        </w:tc>
        <w:tc>
          <w:tcPr>
            <w:tcW w:w="1587" w:type="dxa"/>
            <w:vMerge w:val="restart"/>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1756" w:type="dxa"/>
            <w:vMerge w:val="continue"/>
            <w:noWrap w:val="0"/>
            <w:vAlign w:val="center"/>
          </w:tcPr>
          <w:p>
            <w:pPr>
              <w:widowControl/>
              <w:adjustRightInd w:val="0"/>
              <w:snapToGrid w:val="0"/>
              <w:spacing w:line="420" w:lineRule="exact"/>
              <w:jc w:val="center"/>
              <w:rPr>
                <w:rFonts w:ascii="宋体" w:hAnsi="宋体"/>
                <w:bCs/>
                <w:color w:val="auto"/>
                <w:kern w:val="0"/>
                <w:sz w:val="24"/>
                <w:highlight w:val="none"/>
              </w:rPr>
            </w:pPr>
          </w:p>
        </w:tc>
        <w:tc>
          <w:tcPr>
            <w:tcW w:w="2403"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招标人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（不低于）</w:t>
            </w:r>
          </w:p>
        </w:tc>
        <w:tc>
          <w:tcPr>
            <w:tcW w:w="2350" w:type="dxa"/>
            <w:noWrap w:val="0"/>
            <w:vAlign w:val="center"/>
          </w:tcPr>
          <w:p>
            <w:pPr>
              <w:widowControl/>
              <w:adjustRightInd w:val="0"/>
              <w:snapToGrid w:val="0"/>
              <w:spacing w:line="420" w:lineRule="exact"/>
              <w:jc w:val="center"/>
              <w:rPr>
                <w:rFonts w:ascii="宋体" w:hAnsi="宋体"/>
                <w:bCs/>
                <w:color w:val="auto"/>
                <w:kern w:val="0"/>
                <w:sz w:val="24"/>
                <w:highlight w:val="none"/>
              </w:rPr>
            </w:pPr>
            <w:r>
              <w:rPr>
                <w:rFonts w:hint="eastAsia" w:ascii="宋体" w:hAnsi="宋体"/>
                <w:bCs/>
                <w:color w:val="auto"/>
                <w:kern w:val="0"/>
                <w:sz w:val="24"/>
                <w:highlight w:val="none"/>
              </w:rPr>
              <w:t>投标人</w:t>
            </w:r>
          </w:p>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（不高于）</w:t>
            </w:r>
          </w:p>
        </w:tc>
        <w:tc>
          <w:tcPr>
            <w:tcW w:w="1587" w:type="dxa"/>
            <w:vMerge w:val="continue"/>
            <w:noWrap w:val="0"/>
            <w:vAlign w:val="top"/>
          </w:tcPr>
          <w:p>
            <w:pPr>
              <w:widowControl/>
              <w:adjustRightInd w:val="0"/>
              <w:snapToGrid w:val="0"/>
              <w:spacing w:line="420" w:lineRule="exact"/>
              <w:jc w:val="center"/>
              <w:rPr>
                <w:rFonts w:ascii="宋体" w:hAnsi="宋体"/>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4</w:t>
            </w:r>
          </w:p>
        </w:tc>
        <w:tc>
          <w:tcPr>
            <w:tcW w:w="1756"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乒乓球</w:t>
            </w:r>
          </w:p>
        </w:tc>
        <w:tc>
          <w:tcPr>
            <w:tcW w:w="2403"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20%</w:t>
            </w:r>
          </w:p>
        </w:tc>
        <w:tc>
          <w:tcPr>
            <w:tcW w:w="2350" w:type="dxa"/>
            <w:noWrap w:val="0"/>
            <w:vAlign w:val="top"/>
          </w:tcPr>
          <w:p>
            <w:pPr>
              <w:widowControl/>
              <w:adjustRightInd w:val="0"/>
              <w:snapToGrid w:val="0"/>
              <w:spacing w:line="420" w:lineRule="exact"/>
              <w:jc w:val="center"/>
              <w:rPr>
                <w:rFonts w:ascii="宋体" w:hAnsi="宋体"/>
                <w:bCs/>
                <w:color w:val="auto"/>
                <w:kern w:val="0"/>
                <w:sz w:val="24"/>
                <w:highlight w:val="none"/>
              </w:rPr>
            </w:pPr>
            <w:r>
              <w:rPr>
                <w:rFonts w:ascii="宋体" w:hAnsi="宋体"/>
                <w:bCs/>
                <w:color w:val="auto"/>
                <w:kern w:val="0"/>
                <w:sz w:val="24"/>
                <w:highlight w:val="none"/>
              </w:rPr>
              <w:t>80%</w:t>
            </w:r>
          </w:p>
        </w:tc>
        <w:tc>
          <w:tcPr>
            <w:tcW w:w="1587" w:type="dxa"/>
            <w:noWrap w:val="0"/>
            <w:vAlign w:val="center"/>
          </w:tcPr>
          <w:p>
            <w:pPr>
              <w:widowControl/>
              <w:adjustRightInd w:val="0"/>
              <w:snapToGrid w:val="0"/>
              <w:spacing w:line="420" w:lineRule="exact"/>
              <w:jc w:val="center"/>
              <w:rPr>
                <w:rFonts w:ascii="宋体" w:hAnsi="宋体"/>
                <w:bCs/>
                <w:color w:val="auto"/>
                <w:kern w:val="0"/>
                <w:sz w:val="24"/>
                <w:highlight w:val="none"/>
              </w:rPr>
            </w:pPr>
          </w:p>
        </w:tc>
      </w:tr>
    </w:tbl>
    <w:p>
      <w:pPr>
        <w:snapToGrid w:val="0"/>
        <w:spacing w:line="420" w:lineRule="exact"/>
        <w:ind w:firstLine="484" w:firstLineChars="202"/>
        <w:rPr>
          <w:rFonts w:hint="eastAsia" w:ascii="宋体" w:hAnsi="宋体"/>
          <w:color w:val="auto"/>
          <w:kern w:val="0"/>
          <w:sz w:val="24"/>
          <w:highlight w:val="none"/>
        </w:rPr>
      </w:pPr>
      <w:r>
        <w:rPr>
          <w:rFonts w:hint="eastAsia" w:ascii="宋体" w:hAnsi="宋体"/>
          <w:color w:val="auto"/>
          <w:kern w:val="0"/>
          <w:sz w:val="24"/>
          <w:highlight w:val="none"/>
        </w:rPr>
        <w:t>（2）</w:t>
      </w:r>
      <w:r>
        <w:rPr>
          <w:rFonts w:ascii="宋体" w:hAnsi="宋体"/>
          <w:color w:val="auto"/>
          <w:kern w:val="0"/>
          <w:sz w:val="24"/>
          <w:highlight w:val="none"/>
        </w:rPr>
        <w:t>价格分采用低价优先法计算，即满足招标文件要求且分成比例中</w:t>
      </w:r>
      <w:r>
        <w:rPr>
          <w:rFonts w:hint="eastAsia" w:ascii="宋体" w:hAnsi="宋体"/>
          <w:b/>
          <w:color w:val="auto"/>
          <w:kern w:val="0"/>
          <w:sz w:val="24"/>
          <w:highlight w:val="none"/>
        </w:rPr>
        <w:t>投标人</w:t>
      </w:r>
      <w:r>
        <w:rPr>
          <w:rFonts w:ascii="宋体" w:hAnsi="宋体"/>
          <w:b/>
          <w:color w:val="auto"/>
          <w:kern w:val="0"/>
          <w:sz w:val="24"/>
          <w:highlight w:val="none"/>
        </w:rPr>
        <w:t>自身比例最低的投标报价为评标基准价</w:t>
      </w:r>
      <w:r>
        <w:rPr>
          <w:rFonts w:ascii="宋体" w:hAnsi="宋体"/>
          <w:color w:val="auto"/>
          <w:kern w:val="0"/>
          <w:sz w:val="24"/>
          <w:highlight w:val="none"/>
        </w:rPr>
        <w:t>，其价格分为满分。其他投标人的价格分别按照下列公式计算：</w:t>
      </w:r>
    </w:p>
    <w:p>
      <w:pPr>
        <w:spacing w:line="360" w:lineRule="auto"/>
        <w:ind w:firstLine="480" w:firstLineChars="200"/>
        <w:rPr>
          <w:rFonts w:hint="eastAsia" w:ascii="宋体" w:hAnsi="宋体"/>
          <w:b/>
          <w:color w:val="auto"/>
          <w:sz w:val="24"/>
          <w:highlight w:val="none"/>
        </w:rPr>
      </w:pPr>
      <w:r>
        <w:rPr>
          <w:rFonts w:ascii="宋体" w:hAnsi="宋体"/>
          <w:color w:val="auto"/>
          <w:kern w:val="0"/>
          <w:sz w:val="24"/>
          <w:highlight w:val="none"/>
        </w:rPr>
        <w:t>报价得分 =（评标基准价/报价）×</w:t>
      </w:r>
      <w:r>
        <w:rPr>
          <w:rFonts w:hint="eastAsia" w:ascii="宋体" w:hAnsi="宋体"/>
          <w:color w:val="auto"/>
          <w:kern w:val="0"/>
          <w:sz w:val="24"/>
          <w:highlight w:val="none"/>
        </w:rPr>
        <w:t>1</w:t>
      </w:r>
      <w:r>
        <w:rPr>
          <w:rFonts w:ascii="宋体" w:hAnsi="宋体"/>
          <w:color w:val="auto"/>
          <w:kern w:val="0"/>
          <w:sz w:val="24"/>
          <w:highlight w:val="none"/>
        </w:rPr>
        <w:t>0%×100</w:t>
      </w:r>
    </w:p>
    <w:p>
      <w:pPr>
        <w:snapToGrid w:val="0"/>
        <w:spacing w:line="360" w:lineRule="auto"/>
        <w:ind w:firstLine="482" w:firstLineChars="200"/>
        <w:jc w:val="left"/>
        <w:rPr>
          <w:rFonts w:hint="eastAsia" w:ascii="宋体" w:hAnsi="宋体"/>
          <w:b/>
          <w:color w:val="auto"/>
          <w:sz w:val="24"/>
          <w:highlight w:val="none"/>
        </w:rPr>
      </w:pPr>
      <w:r>
        <w:rPr>
          <w:rFonts w:hint="eastAsia" w:ascii="宋体" w:hAnsi="宋体"/>
          <w:b/>
          <w:color w:val="auto"/>
          <w:sz w:val="24"/>
          <w:highlight w:val="none"/>
        </w:rPr>
        <w:t>七</w:t>
      </w:r>
      <w:r>
        <w:rPr>
          <w:rFonts w:ascii="宋体" w:hAnsi="宋体"/>
          <w:b/>
          <w:color w:val="auto"/>
          <w:sz w:val="24"/>
          <w:highlight w:val="none"/>
        </w:rPr>
        <w:t>、中标人及中标价的确定</w:t>
      </w:r>
    </w:p>
    <w:p>
      <w:pPr>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1、评标委员会按照本评标办法规定进行汇总综合得分，按各投标人综合得分由高到低顺序排名，综合得分最高的推荐为中标候选人。</w:t>
      </w:r>
    </w:p>
    <w:p>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w:t>
      </w:r>
      <w:r>
        <w:rPr>
          <w:rFonts w:ascii="宋体" w:hAnsi="宋体"/>
          <w:color w:val="auto"/>
          <w:sz w:val="24"/>
          <w:highlight w:val="none"/>
        </w:rPr>
        <w:t>如出现二个及以上相同的最高分，按投标报价分高的推荐为中标单位。</w:t>
      </w:r>
    </w:p>
    <w:p>
      <w:pPr>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w:t>
      </w:r>
      <w:r>
        <w:rPr>
          <w:rFonts w:ascii="宋体" w:hAnsi="宋体"/>
          <w:color w:val="auto"/>
          <w:sz w:val="24"/>
          <w:highlight w:val="none"/>
        </w:rPr>
        <w:t>如综合得分且投标报价也相同的，</w:t>
      </w:r>
      <w:r>
        <w:rPr>
          <w:rFonts w:hint="eastAsia" w:ascii="宋体" w:hAnsi="宋体"/>
          <w:color w:val="auto"/>
          <w:sz w:val="24"/>
          <w:highlight w:val="none"/>
        </w:rPr>
        <w:t>随机抽取中标候选人</w:t>
      </w:r>
      <w:r>
        <w:rPr>
          <w:rFonts w:ascii="宋体" w:hAnsi="宋体"/>
          <w:color w:val="auto"/>
          <w:sz w:val="24"/>
          <w:highlight w:val="none"/>
        </w:rPr>
        <w:t>。</w:t>
      </w:r>
    </w:p>
    <w:p>
      <w:pPr>
        <w:snapToGrid w:val="0"/>
        <w:spacing w:line="360" w:lineRule="auto"/>
        <w:ind w:firstLine="482" w:firstLineChars="200"/>
        <w:jc w:val="left"/>
        <w:rPr>
          <w:rFonts w:ascii="宋体" w:hAnsi="宋体"/>
          <w:color w:val="auto"/>
          <w:sz w:val="24"/>
          <w:highlight w:val="none"/>
        </w:rPr>
      </w:pPr>
      <w:r>
        <w:rPr>
          <w:rFonts w:ascii="宋体" w:hAnsi="宋体"/>
          <w:b/>
          <w:color w:val="auto"/>
          <w:sz w:val="24"/>
          <w:highlight w:val="none"/>
        </w:rPr>
        <w:t>八、其他注意事项</w:t>
      </w:r>
    </w:p>
    <w:p>
      <w:pPr>
        <w:snapToGrid w:val="0"/>
        <w:spacing w:line="360" w:lineRule="auto"/>
        <w:ind w:firstLine="480" w:firstLineChars="200"/>
        <w:rPr>
          <w:rFonts w:ascii="宋体" w:hAnsi="宋体"/>
          <w:sz w:val="24"/>
        </w:rPr>
      </w:pPr>
      <w:r>
        <w:rPr>
          <w:rFonts w:ascii="宋体" w:hAnsi="宋体"/>
          <w:color w:val="auto"/>
          <w:sz w:val="24"/>
          <w:highlight w:val="none"/>
        </w:rPr>
        <w:t>1</w:t>
      </w:r>
      <w:r>
        <w:rPr>
          <w:rFonts w:hint="eastAsia" w:ascii="宋体" w:hAnsi="宋体"/>
          <w:color w:val="auto"/>
          <w:sz w:val="24"/>
          <w:highlight w:val="none"/>
        </w:rPr>
        <w:t>.</w:t>
      </w:r>
      <w:r>
        <w:rPr>
          <w:rFonts w:ascii="宋体" w:hAnsi="宋体"/>
          <w:color w:val="auto"/>
          <w:sz w:val="24"/>
          <w:highlight w:val="none"/>
        </w:rPr>
        <w:t>在开标、评审期间，投标人不得向评委询问情况，不得进行旨在影响评标结果的活动。</w:t>
      </w:r>
    </w:p>
    <w:p>
      <w:pPr>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评委会不得向投标人解释落标原因。</w:t>
      </w:r>
    </w:p>
    <w:p>
      <w:pPr>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在投标、评标过程中，如果投标人联合故意压低报价或出现其他不正当行为，招标人有权中止投标或评标。</w:t>
      </w:r>
    </w:p>
    <w:p>
      <w:pPr>
        <w:snapToGrid w:val="0"/>
        <w:spacing w:line="360" w:lineRule="auto"/>
        <w:ind w:firstLine="480" w:firstLineChars="200"/>
        <w:rPr>
          <w:rFonts w:hint="eastAsia" w:ascii="宋体" w:hAnsi="宋体"/>
          <w:sz w:val="24"/>
        </w:rPr>
      </w:pPr>
      <w:r>
        <w:rPr>
          <w:rFonts w:ascii="宋体" w:hAnsi="宋体"/>
          <w:sz w:val="24"/>
        </w:rPr>
        <w:t>4</w:t>
      </w:r>
      <w:r>
        <w:rPr>
          <w:rFonts w:hint="eastAsia" w:ascii="宋体" w:hAnsi="宋体"/>
          <w:sz w:val="24"/>
        </w:rPr>
        <w:t>.</w:t>
      </w:r>
      <w:r>
        <w:rPr>
          <w:rFonts w:ascii="宋体" w:hAnsi="宋体"/>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pPr>
        <w:snapToGrid w:val="0"/>
        <w:spacing w:line="420" w:lineRule="exact"/>
        <w:ind w:left="723"/>
        <w:jc w:val="center"/>
        <w:rPr>
          <w:rFonts w:hint="eastAsia" w:ascii="宋体" w:hAnsi="宋体"/>
          <w:b/>
          <w:bCs/>
          <w:sz w:val="36"/>
          <w:szCs w:val="36"/>
        </w:rPr>
      </w:pPr>
      <w:r>
        <w:rPr>
          <w:rFonts w:hint="eastAsia" w:ascii="宋体" w:hAnsi="宋体"/>
          <w:b/>
          <w:bCs/>
          <w:sz w:val="36"/>
          <w:szCs w:val="36"/>
        </w:rPr>
        <w:t>第五部分  合同签订及主要条款</w:t>
      </w:r>
    </w:p>
    <w:p>
      <w:pPr>
        <w:spacing w:line="420" w:lineRule="exact"/>
        <w:ind w:firstLine="480" w:firstLineChars="200"/>
        <w:rPr>
          <w:rFonts w:hint="eastAsia" w:hAnsi="宋体"/>
          <w:sz w:val="24"/>
        </w:rPr>
      </w:pPr>
      <w:r>
        <w:rPr>
          <w:rFonts w:hint="eastAsia" w:hAnsi="宋体"/>
          <w:sz w:val="24"/>
        </w:rPr>
        <w:t>中标人和招标人自中标通知书发出之日起15日内按时签订合同。合同签订后中标人方可履约，否则引起的一切后果由中标人自行承担。合同一式四份（招标人、中标人各二份）。所签合同不得对采购文件作实质性修改。招标人不得向中标人提出不合理的要求作为签订合同的条件，不得与中标人私下订立背离采购文件实质性内容的协议。</w:t>
      </w:r>
    </w:p>
    <w:p>
      <w:pPr>
        <w:snapToGrid w:val="0"/>
        <w:spacing w:line="420" w:lineRule="exact"/>
        <w:jc w:val="left"/>
        <w:rPr>
          <w:rFonts w:hint="eastAsia" w:ascii="宋体" w:hAnsi="宋体"/>
          <w:sz w:val="24"/>
        </w:rPr>
      </w:pPr>
    </w:p>
    <w:p>
      <w:pPr>
        <w:snapToGrid w:val="0"/>
        <w:spacing w:line="420" w:lineRule="exact"/>
        <w:jc w:val="center"/>
        <w:rPr>
          <w:rFonts w:hint="eastAsia" w:ascii="宋体" w:hAnsi="宋体"/>
          <w:sz w:val="24"/>
        </w:rPr>
      </w:pPr>
    </w:p>
    <w:p>
      <w:pPr>
        <w:snapToGrid w:val="0"/>
        <w:spacing w:line="420" w:lineRule="exact"/>
        <w:jc w:val="center"/>
        <w:outlineLvl w:val="0"/>
        <w:rPr>
          <w:rFonts w:hint="eastAsia" w:ascii="仿宋_GB2312" w:hAnsi="宋体" w:eastAsia="仿宋_GB2312"/>
          <w:b/>
          <w:sz w:val="36"/>
          <w:szCs w:val="36"/>
        </w:rPr>
      </w:pPr>
      <w:r>
        <w:rPr>
          <w:rFonts w:hint="eastAsia" w:ascii="仿宋_GB2312" w:hAnsi="宋体" w:eastAsia="仿宋_GB2312"/>
          <w:b/>
          <w:sz w:val="36"/>
          <w:szCs w:val="36"/>
        </w:rPr>
        <w:t>第六部分  投标文件组成</w:t>
      </w:r>
    </w:p>
    <w:p>
      <w:pPr>
        <w:snapToGrid w:val="0"/>
        <w:spacing w:line="420" w:lineRule="exact"/>
        <w:jc w:val="center"/>
        <w:outlineLvl w:val="0"/>
        <w:rPr>
          <w:rFonts w:hint="eastAsia" w:ascii="仿宋_GB2312" w:hAnsi="宋体" w:eastAsia="仿宋_GB2312"/>
          <w:b/>
          <w:sz w:val="36"/>
          <w:szCs w:val="36"/>
        </w:rPr>
      </w:pPr>
    </w:p>
    <w:p>
      <w:pPr>
        <w:snapToGrid w:val="0"/>
        <w:spacing w:line="420" w:lineRule="exact"/>
        <w:ind w:firstLine="555"/>
        <w:jc w:val="left"/>
        <w:rPr>
          <w:b/>
          <w:sz w:val="24"/>
        </w:rPr>
      </w:pPr>
      <w:r>
        <w:rPr>
          <w:rFonts w:hAnsi="宋体"/>
          <w:b/>
          <w:sz w:val="24"/>
        </w:rPr>
        <w:t>投标文件由资格审查证明材料</w:t>
      </w:r>
      <w:r>
        <w:rPr>
          <w:rFonts w:hint="eastAsia" w:hAnsi="宋体"/>
          <w:b/>
          <w:sz w:val="24"/>
        </w:rPr>
        <w:t>、技术标、</w:t>
      </w:r>
      <w:r>
        <w:rPr>
          <w:rFonts w:hAnsi="宋体"/>
          <w:b/>
          <w:sz w:val="24"/>
        </w:rPr>
        <w:t>报价标</w:t>
      </w:r>
      <w:r>
        <w:rPr>
          <w:rFonts w:hint="eastAsia" w:hAnsi="宋体"/>
          <w:b/>
          <w:sz w:val="24"/>
        </w:rPr>
        <w:t>三</w:t>
      </w:r>
      <w:r>
        <w:rPr>
          <w:rFonts w:hAnsi="宋体"/>
          <w:b/>
          <w:sz w:val="24"/>
        </w:rPr>
        <w:t>部分组成。</w:t>
      </w:r>
    </w:p>
    <w:p>
      <w:pPr>
        <w:pStyle w:val="10"/>
        <w:snapToGrid w:val="0"/>
        <w:spacing w:line="420" w:lineRule="exact"/>
        <w:ind w:left="549"/>
        <w:contextualSpacing/>
        <w:rPr>
          <w:rFonts w:ascii="Times New Roman" w:cs="Times New Roman"/>
          <w:b/>
        </w:rPr>
      </w:pPr>
      <w:r>
        <w:rPr>
          <w:rFonts w:hint="eastAsia" w:ascii="Times New Roman" w:cs="Times New Roman"/>
          <w:b/>
        </w:rPr>
        <w:t>一</w:t>
      </w:r>
      <w:r>
        <w:rPr>
          <w:rFonts w:ascii="Times New Roman" w:cs="Times New Roman"/>
          <w:b/>
        </w:rPr>
        <w:t>、资格审查证明材料(正本一份、副本二份，单独密封)：</w:t>
      </w:r>
    </w:p>
    <w:p>
      <w:pPr>
        <w:pStyle w:val="10"/>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pPr>
        <w:pStyle w:val="10"/>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hint="eastAsia" w:ascii="Times New Roman" w:hAnsi="Times New Roman" w:cs="Times New Roman"/>
        </w:rPr>
        <w:t>；</w:t>
      </w:r>
    </w:p>
    <w:p>
      <w:pPr>
        <w:pStyle w:val="10"/>
        <w:snapToGrid w:val="0"/>
        <w:spacing w:line="420" w:lineRule="exact"/>
        <w:ind w:left="549"/>
        <w:contextualSpacing/>
        <w:rPr>
          <w:rFonts w:hint="eastAsia"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hint="eastAsia" w:ascii="Times New Roman" w:cs="Times New Roman"/>
          <w:lang w:val="zh-CN"/>
        </w:rPr>
        <w:t>；</w:t>
      </w:r>
    </w:p>
    <w:p>
      <w:pPr>
        <w:pStyle w:val="10"/>
        <w:snapToGrid w:val="0"/>
        <w:spacing w:line="420" w:lineRule="exact"/>
        <w:ind w:firstLine="600" w:firstLineChars="250"/>
        <w:contextualSpacing/>
        <w:rPr>
          <w:rFonts w:hint="eastAsia" w:ascii="Times New Roman" w:hAnsi="Times New Roman" w:cs="Times New Roman"/>
        </w:rPr>
      </w:pPr>
      <w:r>
        <w:rPr>
          <w:rFonts w:hint="eastAsia" w:ascii="Times New Roman" w:cs="Times New Roman"/>
        </w:rPr>
        <w:t>4</w:t>
      </w:r>
      <w:r>
        <w:rPr>
          <w:rFonts w:ascii="Times New Roman" w:cs="Times New Roman"/>
        </w:rPr>
        <w:t>、提供</w:t>
      </w:r>
      <w:r>
        <w:rPr>
          <w:rFonts w:hint="eastAsia" w:ascii="Times New Roman" w:cs="Times New Roman"/>
        </w:rPr>
        <w:t>邀标</w:t>
      </w:r>
      <w:r>
        <w:rPr>
          <w:rFonts w:ascii="Times New Roman" w:cs="Times New Roman"/>
        </w:rPr>
        <w:t>公告第</w:t>
      </w:r>
      <w:r>
        <w:rPr>
          <w:rFonts w:hint="eastAsia" w:ascii="Times New Roman" w:cs="Times New Roman"/>
        </w:rPr>
        <w:t>五</w:t>
      </w:r>
      <w:r>
        <w:rPr>
          <w:rFonts w:ascii="Times New Roman" w:cs="Times New Roman"/>
        </w:rPr>
        <w:t>条资格要求中的相应的佐证材料（提供复印件并加盖公</w:t>
      </w:r>
      <w:r>
        <w:rPr>
          <w:rFonts w:ascii="Times New Roman" w:hAnsi="Times New Roman" w:cs="Times New Roman"/>
        </w:rPr>
        <w:t>章）</w:t>
      </w:r>
      <w:r>
        <w:rPr>
          <w:rFonts w:hint="eastAsia" w:ascii="Times New Roman" w:hAnsi="Times New Roman" w:cs="Times New Roman"/>
        </w:rPr>
        <w:t>：</w:t>
      </w:r>
    </w:p>
    <w:p>
      <w:pPr>
        <w:pStyle w:val="10"/>
        <w:snapToGrid w:val="0"/>
        <w:spacing w:line="420" w:lineRule="exact"/>
        <w:ind w:firstLine="480" w:firstLineChars="200"/>
        <w:contextualSpacing/>
        <w:rPr>
          <w:rFonts w:hint="eastAsia" w:ascii="Times New Roman" w:hAnsi="Times New Roman" w:cs="Times New Roman"/>
        </w:rPr>
      </w:pPr>
      <w:r>
        <w:rPr>
          <w:rFonts w:hint="eastAsia" w:ascii="Times New Roman" w:hAnsi="Times New Roman" w:cs="Times New Roman"/>
        </w:rPr>
        <w:t>4.1营业执照副本</w:t>
      </w:r>
      <w:r>
        <w:rPr>
          <w:rFonts w:ascii="Times New Roman" w:cs="Times New Roman"/>
        </w:rPr>
        <w:t>（提供复印件并加盖公章）</w:t>
      </w:r>
      <w:r>
        <w:rPr>
          <w:rFonts w:hint="eastAsia" w:ascii="Times New Roman" w:hAnsi="Times New Roman" w:cs="Times New Roman"/>
        </w:rPr>
        <w:t>；</w:t>
      </w:r>
    </w:p>
    <w:p>
      <w:pPr>
        <w:pStyle w:val="10"/>
        <w:snapToGrid w:val="0"/>
        <w:spacing w:line="420" w:lineRule="exact"/>
        <w:ind w:firstLine="480" w:firstLineChars="200"/>
        <w:contextualSpacing/>
        <w:rPr>
          <w:rFonts w:hint="eastAsia" w:ascii="Times New Roman" w:cs="Times New Roman"/>
        </w:rPr>
      </w:pPr>
      <w:r>
        <w:rPr>
          <w:rFonts w:hint="eastAsia" w:ascii="Times New Roman" w:hAnsi="Times New Roman" w:cs="Times New Roman"/>
        </w:rPr>
        <w:t>4</w:t>
      </w:r>
      <w:r>
        <w:rPr>
          <w:rFonts w:hint="eastAsia" w:ascii="Times New Roman" w:cs="Times New Roman"/>
        </w:rPr>
        <w:t>.2企业2021年任意一个月的财务报告(新成立企业可不提供)；</w:t>
      </w:r>
    </w:p>
    <w:p>
      <w:pPr>
        <w:pStyle w:val="10"/>
        <w:snapToGrid w:val="0"/>
        <w:spacing w:line="420" w:lineRule="exact"/>
        <w:ind w:firstLine="480" w:firstLineChars="200"/>
        <w:contextualSpacing/>
        <w:rPr>
          <w:rFonts w:hint="eastAsia" w:ascii="Times New Roman" w:cs="Times New Roman"/>
        </w:rPr>
      </w:pPr>
      <w:r>
        <w:rPr>
          <w:rFonts w:hint="eastAsia" w:ascii="Times New Roman" w:cs="Times New Roman"/>
        </w:rPr>
        <w:t>4.3</w:t>
      </w:r>
      <w:r>
        <w:rPr>
          <w:rFonts w:hint="eastAsia" w:ascii="Times New Roman" w:hAnsi="Times New Roman" w:cs="Times New Roman"/>
        </w:rPr>
        <w:t>企业</w:t>
      </w:r>
      <w:r>
        <w:rPr>
          <w:rFonts w:hint="eastAsia" w:ascii="Times New Roman" w:cs="Times New Roman"/>
        </w:rPr>
        <w:t>2021年任意一个月的</w:t>
      </w:r>
      <w:r>
        <w:rPr>
          <w:rFonts w:hint="eastAsia" w:ascii="Times New Roman" w:hAnsi="Times New Roman" w:cs="Times New Roman"/>
        </w:rPr>
        <w:t>缴纳税收和社会保障资金的记录；</w:t>
      </w:r>
    </w:p>
    <w:p>
      <w:pPr>
        <w:pStyle w:val="10"/>
        <w:snapToGrid w:val="0"/>
        <w:spacing w:line="420" w:lineRule="exact"/>
        <w:ind w:firstLine="480" w:firstLineChars="200"/>
        <w:contextualSpacing/>
        <w:rPr>
          <w:rFonts w:hint="eastAsia" w:ascii="Times New Roman" w:hAnsi="Times New Roman" w:cs="Times New Roman"/>
        </w:rPr>
      </w:pPr>
      <w:r>
        <w:rPr>
          <w:rFonts w:hint="eastAsia" w:ascii="Times New Roman" w:hAnsi="Times New Roman" w:cs="Times New Roman"/>
        </w:rPr>
        <w:t>4.4近3年在经营活动中没有重大违法记录的声明函（格式详见附件）；</w:t>
      </w:r>
    </w:p>
    <w:p>
      <w:pPr>
        <w:pStyle w:val="10"/>
        <w:snapToGrid w:val="0"/>
        <w:spacing w:line="420" w:lineRule="exact"/>
        <w:ind w:firstLine="480" w:firstLineChars="200"/>
        <w:contextualSpacing/>
        <w:rPr>
          <w:rFonts w:hint="eastAsia" w:ascii="Times New Roman" w:hAnsi="Times New Roman" w:cs="Times New Roman"/>
        </w:rPr>
      </w:pPr>
      <w:r>
        <w:rPr>
          <w:rFonts w:hint="eastAsia" w:ascii="Times New Roman" w:hAnsi="Times New Roman" w:cs="Times New Roman"/>
        </w:rPr>
        <w:t>4.5投标人认为需要提交的其他资料。</w:t>
      </w:r>
    </w:p>
    <w:p>
      <w:pPr>
        <w:pStyle w:val="10"/>
        <w:snapToGrid w:val="0"/>
        <w:spacing w:line="420" w:lineRule="exact"/>
        <w:ind w:left="549"/>
        <w:contextualSpacing/>
        <w:rPr>
          <w:rFonts w:hint="eastAsia" w:ascii="Times New Roman" w:cs="Times New Roman"/>
          <w:b/>
        </w:rPr>
      </w:pPr>
      <w:r>
        <w:rPr>
          <w:rFonts w:hint="eastAsia" w:ascii="Times New Roman" w:cs="Times New Roman"/>
          <w:b/>
        </w:rPr>
        <w:t>二、技术标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pPr>
        <w:pStyle w:val="10"/>
        <w:snapToGrid w:val="0"/>
        <w:spacing w:line="420" w:lineRule="exact"/>
        <w:ind w:left="549"/>
        <w:contextualSpacing/>
        <w:rPr>
          <w:rFonts w:hint="eastAsia" w:ascii="Times New Roman" w:cs="Times New Roman"/>
          <w:b/>
        </w:rPr>
      </w:pPr>
      <w:r>
        <w:rPr>
          <w:rFonts w:hint="eastAsia" w:ascii="Times New Roman" w:cs="Times New Roman"/>
          <w:b/>
        </w:rPr>
        <w:t>投标人根据评标办法自行提供对应的资料。</w:t>
      </w:r>
    </w:p>
    <w:p>
      <w:pPr>
        <w:pStyle w:val="10"/>
        <w:snapToGrid w:val="0"/>
        <w:spacing w:line="420" w:lineRule="exact"/>
        <w:ind w:left="549"/>
        <w:contextualSpacing/>
        <w:rPr>
          <w:rFonts w:ascii="Times New Roman" w:hAnsi="Times New Roman" w:cs="Times New Roman"/>
          <w:b/>
        </w:rPr>
      </w:pPr>
      <w:r>
        <w:rPr>
          <w:rFonts w:hint="eastAsia" w:ascii="Times New Roman" w:cs="Times New Roman"/>
          <w:b/>
        </w:rPr>
        <w:t>三、</w:t>
      </w:r>
      <w:r>
        <w:rPr>
          <w:rFonts w:ascii="Times New Roman" w:cs="Times New Roman"/>
          <w:b/>
        </w:rPr>
        <w:t>报价标</w:t>
      </w:r>
      <w:r>
        <w:rPr>
          <w:rFonts w:ascii="Times New Roman" w:hAnsi="Times New Roman" w:cs="Times New Roman"/>
          <w:b/>
        </w:rPr>
        <w:t>(</w:t>
      </w:r>
      <w:r>
        <w:rPr>
          <w:rFonts w:ascii="Times New Roman" w:cs="Times New Roman"/>
          <w:b/>
        </w:rPr>
        <w:t>正本一份、副本二份，单独密封</w:t>
      </w:r>
      <w:r>
        <w:rPr>
          <w:rFonts w:ascii="Times New Roman" w:hAnsi="Times New Roman" w:cs="Times New Roman"/>
          <w:b/>
        </w:rPr>
        <w:t>)</w:t>
      </w:r>
      <w:r>
        <w:rPr>
          <w:rFonts w:ascii="Times New Roman" w:cs="Times New Roman"/>
          <w:b/>
        </w:rPr>
        <w:t>：</w:t>
      </w:r>
    </w:p>
    <w:p>
      <w:pPr>
        <w:pStyle w:val="10"/>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、开标一览表</w:t>
      </w:r>
      <w:r>
        <w:rPr>
          <w:rFonts w:hint="eastAsia" w:ascii="Times New Roman" w:cs="Times New Roman"/>
        </w:rPr>
        <w:t>(格式见附件)。</w:t>
      </w:r>
    </w:p>
    <w:p>
      <w:pPr>
        <w:pStyle w:val="10"/>
        <w:snapToGrid w:val="0"/>
        <w:spacing w:line="420" w:lineRule="exact"/>
        <w:ind w:left="549"/>
        <w:contextualSpacing/>
        <w:rPr>
          <w:rFonts w:ascii="Times New Roman" w:cs="Times New Roman"/>
          <w:b/>
        </w:rPr>
      </w:pPr>
      <w:r>
        <w:rPr>
          <w:rFonts w:hint="eastAsia" w:ascii="Times New Roman" w:cs="Times New Roman"/>
          <w:b/>
        </w:rPr>
        <w:t>注：</w:t>
      </w:r>
      <w:r>
        <w:rPr>
          <w:rFonts w:ascii="Times New Roman" w:cs="Times New Roman"/>
          <w:b/>
        </w:rPr>
        <w:t>为方便评委评审，请投标人按评标办法中所涉及的事项顺序进行编制，可以补充相关材料。</w:t>
      </w:r>
    </w:p>
    <w:p>
      <w:pPr>
        <w:rPr>
          <w:rFonts w:hint="eastAsia"/>
        </w:rPr>
      </w:pPr>
      <w:r>
        <w:br w:type="page"/>
      </w:r>
      <w:r>
        <w:rPr>
          <w:rFonts w:hint="eastAsia"/>
          <w:lang w:val="zh-CN"/>
        </w:rPr>
        <w:t>附件1</w:t>
      </w:r>
    </w:p>
    <w:p>
      <w:pPr>
        <w:pStyle w:val="10"/>
        <w:snapToGrid w:val="0"/>
        <w:spacing w:line="420" w:lineRule="exact"/>
        <w:ind w:firstLine="551" w:firstLineChars="196"/>
        <w:contextualSpacing/>
        <w:jc w:val="center"/>
        <w:rPr>
          <w:rFonts w:hint="eastAsia" w:eastAsia="楷体_GB2312"/>
          <w:b/>
          <w:sz w:val="28"/>
          <w:szCs w:val="28"/>
        </w:rPr>
      </w:pPr>
      <w:r>
        <w:rPr>
          <w:rFonts w:hint="eastAsia"/>
          <w:b/>
          <w:sz w:val="28"/>
          <w:szCs w:val="28"/>
        </w:rPr>
        <w:t>投标人关于资格的声明函</w:t>
      </w:r>
    </w:p>
    <w:p>
      <w:pPr>
        <w:snapToGrid w:val="0"/>
        <w:spacing w:line="420" w:lineRule="exact"/>
        <w:jc w:val="center"/>
        <w:rPr>
          <w:rFonts w:ascii="仿宋_GB2312" w:eastAsia="仿宋_GB2312"/>
          <w:sz w:val="28"/>
          <w:szCs w:val="28"/>
          <w:lang w:val="zh-CN"/>
        </w:rPr>
      </w:pPr>
    </w:p>
    <w:p>
      <w:pPr>
        <w:snapToGrid w:val="0"/>
        <w:spacing w:line="420" w:lineRule="exact"/>
        <w:rPr>
          <w:rFonts w:hint="eastAsia" w:ascii="宋体" w:hAnsi="宋体"/>
          <w:sz w:val="28"/>
          <w:szCs w:val="28"/>
          <w:lang w:val="zh-CN"/>
        </w:rPr>
      </w:pPr>
      <w:r>
        <w:rPr>
          <w:rFonts w:hint="eastAsia" w:ascii="宋体" w:hAnsi="宋体"/>
          <w:sz w:val="28"/>
          <w:szCs w:val="28"/>
        </w:rPr>
        <w:t>南通乐动体育发展有限公司</w:t>
      </w:r>
      <w:r>
        <w:rPr>
          <w:rFonts w:hint="eastAsia" w:ascii="宋体" w:hAnsi="宋体"/>
          <w:sz w:val="28"/>
          <w:szCs w:val="28"/>
          <w:lang w:val="zh-CN"/>
        </w:rPr>
        <w:t>：</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hint="eastAsia" w:ascii="宋体" w:hAnsi="宋体"/>
          <w:sz w:val="28"/>
          <w:szCs w:val="28"/>
        </w:rPr>
      </w:pPr>
      <w:r>
        <w:rPr>
          <w:rFonts w:hint="eastAsia" w:ascii="宋体" w:hAnsi="宋体"/>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hint="eastAsia" w:ascii="宋体" w:hAnsi="宋体"/>
          <w:sz w:val="4"/>
          <w:szCs w:val="28"/>
        </w:rPr>
      </w:pPr>
    </w:p>
    <w:p>
      <w:pPr>
        <w:snapToGrid w:val="0"/>
        <w:spacing w:line="420" w:lineRule="exact"/>
        <w:ind w:firstLine="562" w:firstLineChars="200"/>
        <w:rPr>
          <w:rFonts w:hint="eastAsia" w:ascii="宋体" w:hAnsi="宋体"/>
          <w:sz w:val="6"/>
          <w:szCs w:val="28"/>
        </w:rPr>
      </w:pPr>
      <w:r>
        <w:rPr>
          <w:rFonts w:hint="eastAsia" w:eastAsia="楷体_GB2312"/>
          <w:b/>
          <w:sz w:val="28"/>
          <w:szCs w:val="28"/>
        </w:rPr>
        <mc:AlternateContent>
          <mc:Choice Requires="wps">
            <w:drawing>
              <wp:anchor distT="0" distB="0" distL="114300" distR="114300" simplePos="0" relativeHeight="251659264" behindDoc="0" locked="0" layoutInCell="1" allowOverlap="1">
                <wp:simplePos x="0" y="0"/>
                <wp:positionH relativeFrom="column">
                  <wp:posOffset>3073400</wp:posOffset>
                </wp:positionH>
                <wp:positionV relativeFrom="paragraph">
                  <wp:posOffset>165735</wp:posOffset>
                </wp:positionV>
                <wp:extent cx="669925" cy="278765"/>
                <wp:effectExtent l="0" t="0" r="15875" b="6985"/>
                <wp:wrapNone/>
                <wp:docPr id="3" name="文本框 3"/>
                <wp:cNvGraphicFramePr/>
                <a:graphic xmlns:a="http://schemas.openxmlformats.org/drawingml/2006/main">
                  <a:graphicData uri="http://schemas.microsoft.com/office/word/2010/wordprocessingShape">
                    <wps:wsp>
                      <wps:cNvSpPr txBox="1"/>
                      <wps:spPr>
                        <a:xfrm>
                          <a:off x="0" y="0"/>
                          <a:ext cx="669925" cy="278765"/>
                        </a:xfrm>
                        <a:prstGeom prst="rect">
                          <a:avLst/>
                        </a:prstGeom>
                        <a:solidFill>
                          <a:srgbClr val="FFFFFF"/>
                        </a:solidFill>
                        <a:ln>
                          <a:noFill/>
                        </a:ln>
                      </wps:spPr>
                      <wps:txbx>
                        <w:txbxContent>
                          <w:p/>
                        </w:txbxContent>
                      </wps:txbx>
                      <wps:bodyPr upright="1"/>
                    </wps:wsp>
                  </a:graphicData>
                </a:graphic>
              </wp:anchor>
            </w:drawing>
          </mc:Choice>
          <mc:Fallback>
            <w:pict>
              <v:shape id="_x0000_s1026" o:spid="_x0000_s1026" o:spt="202" type="#_x0000_t202" style="position:absolute;left:0pt;margin-left:242pt;margin-top:13.05pt;height:21.95pt;width:52.75pt;z-index:251659264;mso-width-relative:margin;mso-height-relative:margin;" stroked="f" coordsize="21600,21600"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zdk4zXAAAACQEAAA8AAAAAAAAAAQAgAAAAIgAAAGRycy9kb3ducmV2Lnht&#10;bFBLAQIUABQAAAAIAIdO4kDCXwtSwQEAAHYDAAAOAAAAAAAAAAEAIAAAACYBAABkcnMvZTJvRG9j&#10;LnhtbFBLBQYAAAAABgAGAFkBAABZBQAAAAA=&#10;">
                <v:path/>
                <v:fill focussize="0,0"/>
                <v:stroke on="f"/>
                <v:imagedata o:title=""/>
                <o:lock v:ext="edit"/>
                <v:textbox>
                  <w:txbxContent>
                    <w:p/>
                  </w:txbxContent>
                </v:textbox>
              </v:shape>
            </w:pict>
          </mc:Fallback>
        </mc:AlternateContent>
      </w:r>
    </w:p>
    <w:p>
      <w:pPr>
        <w:snapToGrid w:val="0"/>
        <w:spacing w:line="420" w:lineRule="exact"/>
        <w:ind w:firstLine="3827" w:firstLineChars="1367"/>
        <w:rPr>
          <w:rFonts w:hint="eastAsia" w:ascii="宋体" w:hAnsi="宋体"/>
          <w:sz w:val="28"/>
          <w:szCs w:val="28"/>
        </w:rPr>
      </w:pPr>
    </w:p>
    <w:p>
      <w:pPr>
        <w:snapToGrid w:val="0"/>
        <w:spacing w:line="420" w:lineRule="exact"/>
        <w:ind w:firstLine="3827" w:firstLineChars="1367"/>
        <w:rPr>
          <w:rFonts w:hint="eastAsia" w:ascii="宋体" w:hAnsi="宋体"/>
          <w:sz w:val="28"/>
          <w:szCs w:val="28"/>
        </w:rPr>
      </w:pPr>
      <w:r>
        <w:rPr>
          <w:rFonts w:hint="eastAsia" w:ascii="宋体" w:hAnsi="宋体"/>
          <w:sz w:val="28"/>
          <w:szCs w:val="28"/>
        </w:rPr>
        <w:t>投标人名称（公章）</w:t>
      </w:r>
    </w:p>
    <w:p>
      <w:pPr>
        <w:snapToGrid w:val="0"/>
        <w:spacing w:line="420" w:lineRule="exact"/>
        <w:ind w:firstLine="3827" w:firstLineChars="1367"/>
        <w:rPr>
          <w:rFonts w:hint="eastAsia" w:ascii="宋体" w:hAnsi="宋体"/>
          <w:sz w:val="28"/>
          <w:szCs w:val="28"/>
        </w:rPr>
      </w:pPr>
      <w:r>
        <w:rPr>
          <w:rFonts w:hint="eastAsia" w:ascii="宋体" w:hAnsi="宋体"/>
          <w:sz w:val="28"/>
          <w:szCs w:val="28"/>
        </w:rPr>
        <w:t>法定代表人(签字)：</w:t>
      </w:r>
    </w:p>
    <w:p>
      <w:pPr>
        <w:snapToGrid w:val="0"/>
        <w:spacing w:line="420" w:lineRule="exact"/>
        <w:ind w:right="560" w:firstLine="420" w:firstLineChars="150"/>
        <w:contextualSpacing/>
        <w:jc w:val="center"/>
        <w:rPr>
          <w:rFonts w:hint="eastAsia" w:ascii="宋体" w:hAnsi="宋体"/>
          <w:sz w:val="28"/>
          <w:szCs w:val="28"/>
        </w:rPr>
      </w:pPr>
      <w:r>
        <w:rPr>
          <w:rFonts w:hint="eastAsia" w:ascii="宋体" w:hAnsi="宋体"/>
          <w:sz w:val="28"/>
          <w:szCs w:val="28"/>
        </w:rPr>
        <w:t xml:space="preserve">               被委托授权人(签字)：</w:t>
      </w:r>
    </w:p>
    <w:p>
      <w:pPr>
        <w:spacing w:line="420" w:lineRule="exact"/>
        <w:ind w:firstLine="6095" w:firstLineChars="2177"/>
        <w:rPr>
          <w:rFonts w:hint="eastAsia" w:ascii="宋体" w:hAnsi="宋体"/>
          <w:sz w:val="28"/>
          <w:szCs w:val="28"/>
        </w:rPr>
      </w:pPr>
    </w:p>
    <w:p>
      <w:pPr>
        <w:spacing w:line="420" w:lineRule="exact"/>
        <w:ind w:firstLine="6095" w:firstLineChars="2177"/>
        <w:rPr>
          <w:rFonts w:ascii="宋体" w:hAnsi="宋体"/>
        </w:rPr>
      </w:pPr>
      <w:r>
        <w:rPr>
          <w:rFonts w:hint="eastAsia" w:ascii="宋体" w:hAnsi="宋体"/>
          <w:sz w:val="28"/>
          <w:szCs w:val="28"/>
        </w:rPr>
        <w:t>年   月   日</w:t>
      </w:r>
    </w:p>
    <w:p>
      <w:pPr>
        <w:pStyle w:val="11"/>
        <w:snapToGrid w:val="0"/>
        <w:spacing w:line="420" w:lineRule="exact"/>
        <w:ind w:firstLine="0" w:firstLineChars="0"/>
        <w:contextualSpacing/>
        <w:rPr>
          <w:rFonts w:hint="eastAsia"/>
        </w:rPr>
      </w:pPr>
      <w:r>
        <w:br w:type="page"/>
      </w:r>
    </w:p>
    <w:p>
      <w:pPr>
        <w:pStyle w:val="11"/>
        <w:snapToGrid w:val="0"/>
        <w:spacing w:line="420" w:lineRule="exact"/>
        <w:ind w:firstLine="0" w:firstLineChars="0"/>
        <w:contextualSpacing/>
        <w:jc w:val="center"/>
        <w:rPr>
          <w:rFonts w:hint="eastAsia"/>
        </w:rPr>
      </w:pPr>
      <w:r>
        <w:rPr>
          <w:rFonts w:hint="eastAsia"/>
          <w:b/>
          <w:sz w:val="36"/>
          <w:szCs w:val="36"/>
        </w:rPr>
        <mc:AlternateContent>
          <mc:Choice Requires="wps">
            <w:drawing>
              <wp:anchor distT="0" distB="0" distL="114300" distR="114300" simplePos="0" relativeHeight="251660288" behindDoc="0" locked="0" layoutInCell="1" allowOverlap="1">
                <wp:simplePos x="0" y="0"/>
                <wp:positionH relativeFrom="column">
                  <wp:posOffset>-384175</wp:posOffset>
                </wp:positionH>
                <wp:positionV relativeFrom="paragraph">
                  <wp:posOffset>-290830</wp:posOffset>
                </wp:positionV>
                <wp:extent cx="860425" cy="476250"/>
                <wp:effectExtent l="0" t="0" r="15875" b="0"/>
                <wp:wrapNone/>
                <wp:docPr id="1" name="文本框 1"/>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wps:spPr>
                      <wps:txbx>
                        <w:txbxContent>
                          <w:p>
                            <w:r>
                              <w:rPr>
                                <w:rFonts w:hint="eastAsia"/>
                                <w:lang w:val="zh-CN"/>
                              </w:rPr>
                              <w:t>附件2</w:t>
                            </w:r>
                          </w:p>
                        </w:txbxContent>
                      </wps:txbx>
                      <wps:bodyPr upright="1"/>
                    </wps:wsp>
                  </a:graphicData>
                </a:graphic>
              </wp:anchor>
            </w:drawing>
          </mc:Choice>
          <mc:Fallback>
            <w:pict>
              <v:shape id="_x0000_s1026" o:spid="_x0000_s1026" o:spt="202" type="#_x0000_t202" style="position:absolute;left:0pt;margin-left:-30.25pt;margin-top:-22.9pt;height:37.5pt;width:67.75pt;z-index:251660288;mso-width-relative:margin;mso-height-relative:margin;" stroked="f" coordsize="21600,21600" o:gfxdata="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imjT1wAAAAkBAAAPAAAAAAAAAAEAIAAAACIAAABkcnMvZG93bnJldi54&#10;bWxQSwECFAAUAAAACACHTuJAdWbqScIBAAB2AwAADgAAAAAAAAABACAAAAAmAQAAZHJzL2Uyb0Rv&#10;Yy54bWxQSwUGAAAAAAYABgBZAQAAWgUAAAAA&#10;">
                <v:path/>
                <v:fill focussize="0,0"/>
                <v:stroke on="f"/>
                <v:imagedata o:title=""/>
                <o:lock v:ext="edit"/>
                <v:textbox>
                  <w:txbxContent>
                    <w:p>
                      <w:r>
                        <w:rPr>
                          <w:rFonts w:hint="eastAsia"/>
                          <w:lang w:val="zh-CN"/>
                        </w:rPr>
                        <w:t>附件2</w:t>
                      </w:r>
                    </w:p>
                  </w:txbxContent>
                </v:textbox>
              </v:shape>
            </w:pict>
          </mc:Fallback>
        </mc:AlternateContent>
      </w:r>
    </w:p>
    <w:p>
      <w:pPr>
        <w:pStyle w:val="11"/>
        <w:snapToGrid w:val="0"/>
        <w:spacing w:line="420" w:lineRule="exact"/>
        <w:ind w:firstLine="0" w:firstLineChars="0"/>
        <w:contextualSpacing/>
        <w:jc w:val="center"/>
        <w:rPr>
          <w:rFonts w:hint="eastAsia" w:ascii="宋体" w:eastAsia="宋体"/>
          <w:b/>
          <w:sz w:val="28"/>
        </w:rPr>
      </w:pPr>
      <w:r>
        <w:rPr>
          <w:rFonts w:hint="eastAsia" w:ascii="宋体" w:eastAsia="宋体"/>
          <w:b/>
          <w:sz w:val="28"/>
        </w:rPr>
        <w:t>法定代表人身份证明书</w:t>
      </w:r>
    </w:p>
    <w:p>
      <w:pPr>
        <w:snapToGrid w:val="0"/>
        <w:spacing w:line="420" w:lineRule="exact"/>
        <w:ind w:firstLine="560" w:firstLineChars="200"/>
        <w:contextualSpacing/>
        <w:rPr>
          <w:rFonts w:hint="eastAsia" w:ascii="宋体" w:hAnsi="宋体"/>
          <w:sz w:val="28"/>
          <w:szCs w:val="28"/>
        </w:rPr>
      </w:pPr>
    </w:p>
    <w:p>
      <w:pPr>
        <w:snapToGrid w:val="0"/>
        <w:spacing w:line="420" w:lineRule="exact"/>
        <w:ind w:firstLine="560" w:firstLineChars="200"/>
        <w:contextualSpacing/>
        <w:rPr>
          <w:rFonts w:hint="eastAsia" w:ascii="宋体" w:hAnsi="宋体"/>
          <w:sz w:val="28"/>
          <w:szCs w:val="28"/>
        </w:rPr>
      </w:pP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先生／女士，现任我单位</w:t>
      </w:r>
      <w:r>
        <w:rPr>
          <w:rFonts w:hint="eastAsia" w:ascii="宋体" w:hAnsi="宋体"/>
          <w:sz w:val="28"/>
          <w:szCs w:val="28"/>
          <w:u w:val="single"/>
        </w:rPr>
        <w:t>　　　　　　　</w:t>
      </w:r>
      <w:r>
        <w:rPr>
          <w:rFonts w:hint="eastAsia" w:ascii="宋体" w:hAnsi="宋体"/>
          <w:sz w:val="28"/>
          <w:szCs w:val="28"/>
        </w:rPr>
        <w:t>职务，为本单位法定代表人，特此证明。</w:t>
      </w:r>
    </w:p>
    <w:p>
      <w:pPr>
        <w:snapToGrid w:val="0"/>
        <w:spacing w:line="420" w:lineRule="exact"/>
        <w:ind w:firstLine="560" w:firstLineChars="200"/>
        <w:contextualSpacing/>
        <w:rPr>
          <w:rFonts w:hint="eastAsia" w:ascii="宋体" w:hAnsi="宋体"/>
          <w:sz w:val="28"/>
          <w:szCs w:val="28"/>
          <w:u w:val="single"/>
        </w:rPr>
      </w:pPr>
      <w:r>
        <w:rPr>
          <w:rFonts w:hint="eastAsia" w:ascii="宋体" w:hAnsi="宋体"/>
          <w:sz w:val="28"/>
          <w:szCs w:val="28"/>
        </w:rPr>
        <w:t>身份证号码：</w:t>
      </w:r>
      <w:r>
        <w:rPr>
          <w:rFonts w:hint="eastAsia" w:ascii="宋体" w:hAnsi="宋体"/>
          <w:sz w:val="28"/>
          <w:szCs w:val="28"/>
          <w:u w:val="single"/>
        </w:rPr>
        <w:t xml:space="preserve">                                               </w:t>
      </w:r>
    </w:p>
    <w:p>
      <w:pPr>
        <w:snapToGrid w:val="0"/>
        <w:spacing w:line="420" w:lineRule="exact"/>
        <w:contextualSpacing/>
        <w:rPr>
          <w:rFonts w:hint="eastAsia" w:ascii="宋体" w:hAnsi="宋体"/>
          <w:b/>
          <w:sz w:val="28"/>
          <w:szCs w:val="28"/>
        </w:rPr>
      </w:pPr>
      <w:r>
        <w:rPr>
          <w:rFonts w:hint="eastAsia" w:ascii="宋体" w:hAnsi="宋体"/>
          <w:b/>
          <w:sz w:val="28"/>
          <w:szCs w:val="28"/>
        </w:rPr>
        <w:t>注：提供法定代表人的身份证复印件盖公章</w:t>
      </w:r>
    </w:p>
    <w:p>
      <w:pPr>
        <w:snapToGrid w:val="0"/>
        <w:spacing w:line="420" w:lineRule="exact"/>
        <w:ind w:firstLine="5180" w:firstLineChars="1850"/>
        <w:contextualSpacing/>
        <w:rPr>
          <w:rFonts w:hint="eastAsia" w:ascii="宋体" w:hAnsi="宋体"/>
          <w:sz w:val="28"/>
          <w:szCs w:val="28"/>
        </w:rPr>
      </w:pPr>
    </w:p>
    <w:p>
      <w:pPr>
        <w:snapToGrid w:val="0"/>
        <w:spacing w:line="420" w:lineRule="exact"/>
        <w:ind w:firstLine="5180" w:firstLineChars="1850"/>
        <w:contextualSpacing/>
        <w:rPr>
          <w:rFonts w:hint="eastAsia" w:ascii="宋体" w:hAnsi="宋体"/>
          <w:sz w:val="28"/>
          <w:szCs w:val="28"/>
        </w:rPr>
      </w:pPr>
      <w:r>
        <w:rPr>
          <w:rFonts w:hint="eastAsia" w:ascii="宋体" w:hAnsi="宋体"/>
          <w:sz w:val="28"/>
          <w:szCs w:val="28"/>
        </w:rPr>
        <w:t>投标人名称（盖章）</w:t>
      </w:r>
    </w:p>
    <w:p>
      <w:pPr>
        <w:snapToGrid w:val="0"/>
        <w:spacing w:line="420" w:lineRule="exact"/>
        <w:contextualSpacing/>
        <w:rPr>
          <w:rFonts w:hint="eastAsia" w:ascii="宋体" w:hAnsi="宋体"/>
          <w:sz w:val="28"/>
          <w:szCs w:val="28"/>
        </w:rPr>
      </w:pPr>
    </w:p>
    <w:p>
      <w:pPr>
        <w:pStyle w:val="5"/>
        <w:snapToGrid w:val="0"/>
        <w:spacing w:line="420" w:lineRule="exact"/>
        <w:ind w:firstLine="5180" w:firstLineChars="1850"/>
        <w:contextualSpacing/>
        <w:rPr>
          <w:rFonts w:hint="eastAsia" w:ascii="宋体" w:hAnsi="宋体"/>
          <w:bCs/>
          <w:sz w:val="28"/>
          <w:szCs w:val="28"/>
        </w:rPr>
      </w:pPr>
      <w:r>
        <w:rPr>
          <w:rFonts w:hint="eastAsia" w:ascii="宋体" w:hAnsi="宋体"/>
          <w:bCs/>
          <w:sz w:val="28"/>
          <w:szCs w:val="28"/>
        </w:rPr>
        <w:t>年    月    日</w:t>
      </w:r>
    </w:p>
    <w:p>
      <w:pPr>
        <w:snapToGrid w:val="0"/>
        <w:spacing w:line="420" w:lineRule="exact"/>
        <w:ind w:firstLine="517" w:firstLineChars="245"/>
        <w:contextualSpacing/>
        <w:jc w:val="center"/>
        <w:rPr>
          <w:rFonts w:hint="eastAsia" w:ascii="宋体" w:hAnsi="宋体"/>
          <w:b/>
          <w:bCs/>
          <w:szCs w:val="21"/>
        </w:rPr>
      </w:pPr>
    </w:p>
    <w:p>
      <w:pPr>
        <w:pStyle w:val="11"/>
        <w:snapToGrid w:val="0"/>
        <w:spacing w:line="420" w:lineRule="exact"/>
        <w:ind w:firstLine="0" w:firstLineChars="0"/>
        <w:contextualSpacing/>
        <w:jc w:val="center"/>
        <w:rPr>
          <w:rFonts w:hint="eastAsia"/>
          <w:sz w:val="28"/>
        </w:rPr>
      </w:pPr>
      <w:r>
        <w:rPr>
          <w:sz w:val="28"/>
        </w:rPr>
        <w:br w:type="page"/>
      </w:r>
    </w:p>
    <w:p>
      <w:pPr>
        <w:pStyle w:val="11"/>
        <w:snapToGrid w:val="0"/>
        <w:spacing w:line="420" w:lineRule="exact"/>
        <w:ind w:firstLine="0" w:firstLineChars="0"/>
        <w:contextualSpacing/>
        <w:jc w:val="center"/>
        <w:rPr>
          <w:rFonts w:hint="eastAsia" w:ascii="宋体" w:eastAsia="宋体"/>
          <w:b/>
          <w:sz w:val="28"/>
        </w:rPr>
      </w:pPr>
      <w:r>
        <w:rPr>
          <w:rFonts w:hint="eastAsia" w:ascii="宋体" w:eastAsia="宋体"/>
          <w:b/>
          <w:sz w:val="28"/>
        </w:rPr>
        <mc:AlternateContent>
          <mc:Choice Requires="wps">
            <w:drawing>
              <wp:anchor distT="0" distB="0" distL="114300" distR="114300" simplePos="0" relativeHeight="251661312" behindDoc="0" locked="0" layoutInCell="1" allowOverlap="1">
                <wp:simplePos x="0" y="0"/>
                <wp:positionH relativeFrom="column">
                  <wp:posOffset>-180975</wp:posOffset>
                </wp:positionH>
                <wp:positionV relativeFrom="paragraph">
                  <wp:posOffset>-288290</wp:posOffset>
                </wp:positionV>
                <wp:extent cx="860425" cy="476250"/>
                <wp:effectExtent l="0" t="0" r="15875" b="0"/>
                <wp:wrapNone/>
                <wp:docPr id="4" name="文本框 4"/>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wps:spPr>
                      <wps:txbx>
                        <w:txbxContent>
                          <w:p>
                            <w:r>
                              <w:rPr>
                                <w:rFonts w:hint="eastAsia"/>
                                <w:lang w:val="zh-CN"/>
                              </w:rPr>
                              <w:t>附件3</w:t>
                            </w:r>
                          </w:p>
                        </w:txbxContent>
                      </wps:txbx>
                      <wps:bodyPr upright="1"/>
                    </wps:wsp>
                  </a:graphicData>
                </a:graphic>
              </wp:anchor>
            </w:drawing>
          </mc:Choice>
          <mc:Fallback>
            <w:pict>
              <v:shape id="_x0000_s1026" o:spid="_x0000_s1026" o:spt="202" type="#_x0000_t202" style="position:absolute;left:0pt;margin-left:-14.25pt;margin-top:-22.7pt;height:37.5pt;width:67.75pt;z-index:251661312;mso-width-relative:margin;mso-height-relative:margin;" stroked="f" coordsize="21600,21600" o:gfxdata="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njb+9gAAAAKAQAADwAAAAAAAAABACAAAAAiAAAAZHJzL2Rvd25yZXYu&#10;eG1sUEsBAhQAFAAAAAgAh07iQHeosnfCAQAAdgMAAA4AAAAAAAAAAQAgAAAAJwEAAGRycy9lMm9E&#10;b2MueG1sUEsFBgAAAAAGAAYAWQEAAFsFAAAAAA==&#10;">
                <v:path/>
                <v:fill focussize="0,0"/>
                <v:stroke on="f"/>
                <v:imagedata o:title=""/>
                <o:lock v:ext="edit"/>
                <v:textbox>
                  <w:txbxContent>
                    <w:p>
                      <w:r>
                        <w:rPr>
                          <w:rFonts w:hint="eastAsia"/>
                          <w:lang w:val="zh-CN"/>
                        </w:rPr>
                        <w:t>附件3</w:t>
                      </w:r>
                    </w:p>
                  </w:txbxContent>
                </v:textbox>
              </v:shape>
            </w:pict>
          </mc:Fallback>
        </mc:AlternateContent>
      </w:r>
      <w:r>
        <w:rPr>
          <w:rFonts w:hint="eastAsia" w:ascii="宋体" w:eastAsia="宋体"/>
          <w:b/>
          <w:sz w:val="28"/>
        </w:rPr>
        <w:t>法定代表人授权委托书</w:t>
      </w:r>
    </w:p>
    <w:p>
      <w:pPr>
        <w:snapToGrid w:val="0"/>
        <w:spacing w:line="420" w:lineRule="exact"/>
        <w:ind w:firstLine="689" w:firstLineChars="245"/>
        <w:contextualSpacing/>
        <w:jc w:val="center"/>
        <w:rPr>
          <w:rFonts w:hint="eastAsia" w:ascii="宋体" w:hAnsi="宋体"/>
          <w:b/>
          <w:bCs/>
          <w:sz w:val="28"/>
          <w:szCs w:val="28"/>
        </w:rPr>
      </w:pPr>
    </w:p>
    <w:p>
      <w:pPr>
        <w:snapToGrid w:val="0"/>
        <w:spacing w:line="420" w:lineRule="exact"/>
        <w:contextualSpacing/>
        <w:rPr>
          <w:rFonts w:hint="eastAsia" w:ascii="宋体" w:hAnsi="宋体"/>
          <w:b/>
          <w:sz w:val="28"/>
          <w:szCs w:val="28"/>
        </w:rPr>
      </w:pPr>
      <w:r>
        <w:rPr>
          <w:rFonts w:hint="eastAsia" w:ascii="宋体" w:hAnsi="宋体"/>
          <w:sz w:val="28"/>
          <w:szCs w:val="28"/>
        </w:rPr>
        <w:t>南通乐动体育发展有限公司</w:t>
      </w:r>
      <w:r>
        <w:rPr>
          <w:rFonts w:hint="eastAsia" w:ascii="宋体" w:hAnsi="宋体"/>
          <w:b/>
          <w:sz w:val="28"/>
          <w:szCs w:val="28"/>
        </w:rPr>
        <w:t>：</w:t>
      </w:r>
    </w:p>
    <w:p>
      <w:pPr>
        <w:pStyle w:val="4"/>
        <w:snapToGrid w:val="0"/>
        <w:spacing w:line="420" w:lineRule="exact"/>
        <w:ind w:firstLine="420"/>
        <w:contextualSpacing/>
        <w:rPr>
          <w:rFonts w:hint="eastAsia" w:hAnsi="宋体"/>
          <w:sz w:val="28"/>
          <w:szCs w:val="28"/>
        </w:rPr>
      </w:pPr>
      <w:r>
        <w:rPr>
          <w:rFonts w:hint="eastAsia" w:hAnsi="宋体"/>
          <w:sz w:val="28"/>
          <w:szCs w:val="28"/>
        </w:rPr>
        <w:t xml:space="preserve"> 本授权委托书声明：我</w:t>
      </w:r>
      <w:r>
        <w:rPr>
          <w:rFonts w:hint="eastAsia" w:hAnsi="宋体"/>
          <w:sz w:val="28"/>
          <w:szCs w:val="28"/>
          <w:u w:val="single"/>
        </w:rPr>
        <w:t>　　   　</w:t>
      </w:r>
      <w:r>
        <w:rPr>
          <w:rFonts w:hint="eastAsia" w:hAnsi="宋体"/>
          <w:sz w:val="28"/>
          <w:szCs w:val="28"/>
        </w:rPr>
        <w:t>（姓名）系</w:t>
      </w:r>
      <w:r>
        <w:rPr>
          <w:rFonts w:hint="eastAsia" w:hAnsi="宋体"/>
          <w:sz w:val="28"/>
          <w:szCs w:val="28"/>
          <w:u w:val="single"/>
        </w:rPr>
        <w:t>　　  　</w:t>
      </w:r>
      <w:r>
        <w:rPr>
          <w:rFonts w:hint="eastAsia" w:hAnsi="宋体"/>
          <w:sz w:val="28"/>
          <w:szCs w:val="28"/>
        </w:rPr>
        <w:t>（投标人名称）的法定代表人，现授权委托</w:t>
      </w:r>
      <w:r>
        <w:rPr>
          <w:rFonts w:hint="eastAsia" w:hAnsi="宋体"/>
          <w:sz w:val="28"/>
          <w:szCs w:val="28"/>
          <w:u w:val="single"/>
        </w:rPr>
        <w:t>　　   （</w:t>
      </w:r>
      <w:r>
        <w:rPr>
          <w:rFonts w:hint="eastAsia" w:hAnsi="宋体"/>
          <w:sz w:val="28"/>
          <w:szCs w:val="28"/>
        </w:rPr>
        <w:t>姓名）为我公司代理人，以本公司的名义参加本项目的投标活动。代理人在开标、评标、合同招标过程中所签署的一切文件和处理与之有关的一切事务，我均予以承认。</w:t>
      </w:r>
    </w:p>
    <w:p>
      <w:pPr>
        <w:pStyle w:val="4"/>
        <w:snapToGrid w:val="0"/>
        <w:spacing w:line="420" w:lineRule="exact"/>
        <w:ind w:firstLine="420"/>
        <w:contextualSpacing/>
        <w:rPr>
          <w:rFonts w:hint="eastAsia" w:hAnsi="宋体"/>
          <w:sz w:val="28"/>
          <w:szCs w:val="28"/>
        </w:rPr>
      </w:pPr>
      <w:r>
        <w:rPr>
          <w:rFonts w:hint="eastAsia" w:hAnsi="宋体"/>
          <w:sz w:val="28"/>
          <w:szCs w:val="28"/>
        </w:rPr>
        <w:t>被委托授权人无转委权。特此委托。</w:t>
      </w:r>
    </w:p>
    <w:p>
      <w:pPr>
        <w:pStyle w:val="4"/>
        <w:snapToGrid w:val="0"/>
        <w:spacing w:line="420" w:lineRule="exact"/>
        <w:ind w:firstLine="420"/>
        <w:contextualSpacing/>
        <w:rPr>
          <w:rFonts w:hint="eastAsia" w:hAnsi="宋体"/>
          <w:sz w:val="28"/>
          <w:szCs w:val="28"/>
        </w:rPr>
      </w:pPr>
    </w:p>
    <w:p>
      <w:pPr>
        <w:pStyle w:val="4"/>
        <w:snapToGrid w:val="0"/>
        <w:spacing w:line="420" w:lineRule="exact"/>
        <w:ind w:firstLine="420"/>
        <w:contextualSpacing/>
        <w:rPr>
          <w:rFonts w:hint="eastAsia" w:hAnsi="宋体"/>
          <w:sz w:val="28"/>
          <w:szCs w:val="28"/>
        </w:rPr>
      </w:pPr>
      <w:r>
        <w:rPr>
          <w:rFonts w:hint="eastAsia" w:hAnsi="宋体"/>
          <w:sz w:val="28"/>
          <w:szCs w:val="28"/>
        </w:rPr>
        <w:t>被委托授权人身份证号：</w:t>
      </w:r>
    </w:p>
    <w:p>
      <w:pPr>
        <w:snapToGrid w:val="0"/>
        <w:spacing w:line="420" w:lineRule="exact"/>
        <w:ind w:firstLine="420" w:firstLineChars="150"/>
        <w:contextualSpacing/>
        <w:rPr>
          <w:rFonts w:hint="eastAsia" w:ascii="宋体" w:hAnsi="宋体"/>
          <w:sz w:val="28"/>
          <w:szCs w:val="28"/>
        </w:rPr>
      </w:pPr>
    </w:p>
    <w:p>
      <w:pPr>
        <w:snapToGrid w:val="0"/>
        <w:spacing w:line="420" w:lineRule="exact"/>
        <w:ind w:firstLine="420" w:firstLineChars="150"/>
        <w:contextualSpacing/>
        <w:rPr>
          <w:rFonts w:hint="eastAsia" w:ascii="宋体" w:hAnsi="宋体"/>
          <w:sz w:val="28"/>
          <w:szCs w:val="28"/>
        </w:rPr>
      </w:pPr>
      <w:r>
        <w:rPr>
          <w:rFonts w:hint="eastAsia" w:ascii="宋体" w:hAnsi="宋体"/>
          <w:sz w:val="28"/>
          <w:szCs w:val="28"/>
        </w:rPr>
        <w:t>法定代表人签字：</w:t>
      </w:r>
    </w:p>
    <w:p>
      <w:pPr>
        <w:snapToGrid w:val="0"/>
        <w:spacing w:line="420" w:lineRule="exact"/>
        <w:ind w:firstLine="420" w:firstLineChars="150"/>
        <w:contextualSpacing/>
        <w:rPr>
          <w:rFonts w:hint="eastAsia" w:ascii="宋体" w:hAnsi="宋体"/>
          <w:sz w:val="28"/>
          <w:szCs w:val="28"/>
        </w:rPr>
      </w:pPr>
    </w:p>
    <w:p>
      <w:pPr>
        <w:snapToGrid w:val="0"/>
        <w:spacing w:line="420" w:lineRule="exact"/>
        <w:ind w:firstLine="420" w:firstLineChars="150"/>
        <w:contextualSpacing/>
        <w:rPr>
          <w:rFonts w:hint="eastAsia" w:ascii="宋体" w:hAnsi="宋体"/>
          <w:sz w:val="28"/>
          <w:szCs w:val="28"/>
        </w:rPr>
      </w:pPr>
      <w:r>
        <w:rPr>
          <w:rFonts w:hint="eastAsia" w:ascii="宋体" w:hAnsi="宋体"/>
          <w:sz w:val="28"/>
          <w:szCs w:val="28"/>
        </w:rPr>
        <w:t>被委托授权人签字：</w:t>
      </w:r>
    </w:p>
    <w:p>
      <w:pPr>
        <w:snapToGrid w:val="0"/>
        <w:spacing w:line="420" w:lineRule="exact"/>
        <w:ind w:firstLine="5180" w:firstLineChars="1850"/>
        <w:contextualSpacing/>
        <w:rPr>
          <w:rFonts w:hint="eastAsia" w:ascii="宋体" w:hAnsi="宋体"/>
          <w:sz w:val="28"/>
          <w:szCs w:val="28"/>
        </w:rPr>
      </w:pPr>
    </w:p>
    <w:p>
      <w:pPr>
        <w:snapToGrid w:val="0"/>
        <w:spacing w:line="420" w:lineRule="exact"/>
        <w:ind w:firstLine="5180" w:firstLineChars="1850"/>
        <w:contextualSpacing/>
        <w:rPr>
          <w:rFonts w:hint="eastAsia" w:ascii="宋体" w:hAnsi="宋体"/>
          <w:sz w:val="28"/>
          <w:szCs w:val="28"/>
        </w:rPr>
      </w:pPr>
      <w:r>
        <w:rPr>
          <w:rFonts w:hint="eastAsia" w:ascii="宋体" w:hAnsi="宋体"/>
          <w:sz w:val="28"/>
          <w:szCs w:val="28"/>
        </w:rPr>
        <w:t>投标人名称（盖章）</w:t>
      </w:r>
    </w:p>
    <w:p>
      <w:pPr>
        <w:snapToGrid w:val="0"/>
        <w:spacing w:line="420" w:lineRule="exact"/>
        <w:contextualSpacing/>
        <w:rPr>
          <w:rFonts w:hint="eastAsia" w:ascii="宋体" w:hAnsi="宋体"/>
          <w:sz w:val="28"/>
          <w:szCs w:val="28"/>
        </w:rPr>
      </w:pPr>
    </w:p>
    <w:p>
      <w:pPr>
        <w:pStyle w:val="5"/>
        <w:snapToGrid w:val="0"/>
        <w:spacing w:line="420" w:lineRule="exact"/>
        <w:ind w:firstLine="5180" w:firstLineChars="1850"/>
        <w:contextualSpacing/>
        <w:rPr>
          <w:rFonts w:hint="eastAsia" w:ascii="宋体" w:hAnsi="宋体"/>
          <w:bCs/>
          <w:sz w:val="28"/>
          <w:szCs w:val="28"/>
        </w:rPr>
      </w:pPr>
      <w:r>
        <w:rPr>
          <w:rFonts w:hint="eastAsia" w:ascii="宋体" w:hAnsi="宋体"/>
          <w:bCs/>
          <w:sz w:val="28"/>
          <w:szCs w:val="28"/>
        </w:rPr>
        <w:t>年    月    日</w:t>
      </w:r>
    </w:p>
    <w:p>
      <w:pPr>
        <w:pStyle w:val="4"/>
        <w:snapToGrid w:val="0"/>
        <w:spacing w:line="420" w:lineRule="exact"/>
        <w:ind w:firstLine="579"/>
        <w:contextualSpacing/>
        <w:rPr>
          <w:rFonts w:hint="eastAsia" w:hAnsi="宋体"/>
          <w:b/>
          <w:sz w:val="28"/>
          <w:szCs w:val="28"/>
        </w:rPr>
      </w:pPr>
      <w:r>
        <w:rPr>
          <w:rFonts w:hint="eastAsia" w:hAnsi="宋体"/>
          <w:b/>
          <w:sz w:val="28"/>
          <w:szCs w:val="28"/>
        </w:rPr>
        <w:t>注：提供被委托授权人的身份证复印件盖公章</w:t>
      </w:r>
    </w:p>
    <w:p>
      <w:pPr>
        <w:rPr>
          <w:rFonts w:hint="eastAsia"/>
        </w:rPr>
      </w:pPr>
      <w:r>
        <w:rPr>
          <w:rFonts w:ascii="宋体" w:hAnsi="宋体"/>
          <w:b/>
          <w:sz w:val="36"/>
          <w:szCs w:val="36"/>
        </w:rPr>
        <w:br w:type="page"/>
      </w:r>
      <w:r>
        <w:rPr>
          <w:rFonts w:hint="eastAsia"/>
          <w:lang w:val="zh-CN"/>
        </w:rPr>
        <w:t>附件4</w:t>
      </w:r>
    </w:p>
    <w:p>
      <w:pPr>
        <w:snapToGrid w:val="0"/>
        <w:spacing w:line="520" w:lineRule="exact"/>
        <w:jc w:val="center"/>
        <w:outlineLvl w:val="4"/>
        <w:rPr>
          <w:b/>
          <w:bCs/>
          <w:sz w:val="24"/>
        </w:rPr>
      </w:pPr>
      <w:r>
        <w:rPr>
          <w:b/>
          <w:bCs/>
          <w:sz w:val="24"/>
        </w:rPr>
        <w:t>无重大违法记录声明函</w:t>
      </w:r>
    </w:p>
    <w:p>
      <w:pPr>
        <w:snapToGrid w:val="0"/>
        <w:spacing w:line="420" w:lineRule="exact"/>
        <w:contextualSpacing/>
        <w:rPr>
          <w:rFonts w:hint="eastAsia" w:ascii="宋体" w:hAnsi="宋体"/>
          <w:sz w:val="28"/>
          <w:szCs w:val="28"/>
          <w:u w:val="single"/>
        </w:rPr>
      </w:pPr>
    </w:p>
    <w:p>
      <w:pPr>
        <w:snapToGrid w:val="0"/>
        <w:spacing w:line="420" w:lineRule="exact"/>
        <w:contextualSpacing/>
        <w:rPr>
          <w:rFonts w:ascii="宋体" w:hAnsi="宋体"/>
          <w:b/>
          <w:sz w:val="28"/>
          <w:szCs w:val="28"/>
          <w:u w:val="single"/>
        </w:rPr>
      </w:pPr>
      <w:r>
        <w:rPr>
          <w:rFonts w:hint="eastAsia" w:ascii="宋体" w:hAnsi="宋体"/>
          <w:sz w:val="28"/>
          <w:szCs w:val="28"/>
        </w:rPr>
        <w:t>南通乐动体育发展有限公司</w:t>
      </w:r>
      <w:r>
        <w:rPr>
          <w:rFonts w:ascii="宋体" w:hAnsi="宋体"/>
          <w:sz w:val="28"/>
          <w:szCs w:val="28"/>
        </w:rPr>
        <w:t>：</w:t>
      </w:r>
    </w:p>
    <w:p>
      <w:pPr>
        <w:spacing w:line="560" w:lineRule="exact"/>
        <w:rPr>
          <w:rFonts w:ascii="宋体" w:hAnsi="宋体"/>
          <w:sz w:val="28"/>
          <w:szCs w:val="28"/>
        </w:rPr>
      </w:pPr>
      <w:r>
        <w:rPr>
          <w:rFonts w:ascii="宋体" w:hAnsi="宋体"/>
          <w:sz w:val="28"/>
          <w:szCs w:val="28"/>
        </w:rPr>
        <w:t>我单位（供应商名称）郑重声明：</w:t>
      </w:r>
    </w:p>
    <w:p>
      <w:pPr>
        <w:spacing w:line="560" w:lineRule="exact"/>
        <w:ind w:firstLine="560" w:firstLineChars="200"/>
        <w:rPr>
          <w:rFonts w:ascii="宋体" w:hAnsi="宋体"/>
          <w:sz w:val="28"/>
          <w:szCs w:val="28"/>
        </w:rPr>
      </w:pPr>
      <w:r>
        <w:rPr>
          <w:rFonts w:ascii="宋体" w:hAnsi="宋体"/>
          <w:sz w:val="28"/>
          <w:szCs w:val="28"/>
        </w:rPr>
        <w:t>参加政府采购活动前3年内在经营活动中（在下划线上如实填写：有或没有）重大违法记录。</w:t>
      </w:r>
    </w:p>
    <w:p>
      <w:pPr>
        <w:spacing w:line="560" w:lineRule="exact"/>
        <w:ind w:firstLine="480"/>
        <w:rPr>
          <w:rFonts w:ascii="宋体" w:hAnsi="宋体"/>
          <w:sz w:val="28"/>
          <w:szCs w:val="28"/>
        </w:rPr>
      </w:pPr>
      <w:r>
        <w:rPr>
          <w:rFonts w:ascii="宋体" w:hAnsi="宋体"/>
          <w:sz w:val="28"/>
          <w:szCs w:val="28"/>
        </w:rPr>
        <w:t>（说明：政府采购法第二十二条第一款第五项所称重大违法记录，是指供应商因违法经营受到刑事处罚或者责令停产停业、吊销许可证或者执照、较大数额罚款等行政处罚。）</w:t>
      </w:r>
    </w:p>
    <w:p>
      <w:pPr>
        <w:spacing w:line="420" w:lineRule="exact"/>
        <w:rPr>
          <w:rFonts w:ascii="宋体" w:hAnsi="宋体"/>
          <w:sz w:val="28"/>
          <w:szCs w:val="28"/>
        </w:rPr>
      </w:pPr>
    </w:p>
    <w:p>
      <w:pPr>
        <w:spacing w:line="420" w:lineRule="exact"/>
        <w:ind w:firstLine="5600" w:firstLineChars="2000"/>
        <w:rPr>
          <w:rFonts w:hint="eastAsia" w:ascii="宋体" w:hAnsi="宋体"/>
          <w:sz w:val="28"/>
          <w:szCs w:val="28"/>
        </w:rPr>
      </w:pPr>
    </w:p>
    <w:p>
      <w:pPr>
        <w:spacing w:line="420" w:lineRule="exact"/>
        <w:ind w:firstLine="5600" w:firstLineChars="2000"/>
        <w:rPr>
          <w:rFonts w:ascii="宋体" w:hAnsi="宋体"/>
          <w:sz w:val="28"/>
          <w:szCs w:val="28"/>
        </w:rPr>
      </w:pPr>
      <w:r>
        <w:rPr>
          <w:rFonts w:ascii="宋体" w:hAnsi="宋体"/>
          <w:sz w:val="28"/>
          <w:szCs w:val="28"/>
        </w:rPr>
        <w:t>声明人：（公章）</w:t>
      </w:r>
    </w:p>
    <w:p>
      <w:pPr>
        <w:spacing w:line="420" w:lineRule="exact"/>
        <w:jc w:val="right"/>
        <w:rPr>
          <w:rFonts w:hint="eastAsia" w:ascii="宋体" w:hAnsi="宋体"/>
          <w:sz w:val="28"/>
          <w:szCs w:val="28"/>
        </w:rPr>
      </w:pPr>
    </w:p>
    <w:p>
      <w:pPr>
        <w:spacing w:line="420" w:lineRule="exact"/>
        <w:ind w:firstLine="6160" w:firstLineChars="2200"/>
        <w:rPr>
          <w:rFonts w:hint="eastAsia"/>
        </w:rPr>
      </w:pPr>
      <w:r>
        <w:rPr>
          <w:rFonts w:ascii="宋体" w:hAnsi="宋体"/>
          <w:sz w:val="28"/>
          <w:szCs w:val="28"/>
        </w:rPr>
        <w:t>年</w:t>
      </w:r>
      <w:r>
        <w:rPr>
          <w:rFonts w:hint="eastAsia" w:ascii="宋体" w:hAnsi="宋体"/>
          <w:sz w:val="28"/>
          <w:szCs w:val="28"/>
        </w:rPr>
        <w:t xml:space="preserve">  </w:t>
      </w:r>
      <w:r>
        <w:rPr>
          <w:rFonts w:ascii="宋体" w:hAnsi="宋体"/>
          <w:sz w:val="28"/>
          <w:szCs w:val="28"/>
        </w:rPr>
        <w:t>月</w:t>
      </w:r>
      <w:r>
        <w:rPr>
          <w:rFonts w:hint="eastAsia" w:ascii="宋体" w:hAnsi="宋体"/>
          <w:sz w:val="28"/>
          <w:szCs w:val="28"/>
        </w:rPr>
        <w:t xml:space="preserve">  </w:t>
      </w:r>
      <w:r>
        <w:rPr>
          <w:rFonts w:ascii="宋体" w:hAnsi="宋体"/>
          <w:sz w:val="28"/>
          <w:szCs w:val="28"/>
        </w:rPr>
        <w:t>日</w:t>
      </w:r>
    </w:p>
    <w:p>
      <w:pPr>
        <w:spacing w:line="420" w:lineRule="exact"/>
        <w:ind w:firstLine="2800" w:firstLineChars="1000"/>
        <w:rPr>
          <w:rFonts w:hint="eastAsia"/>
        </w:rPr>
      </w:pPr>
      <w:r>
        <w:rPr>
          <w:rFonts w:ascii="宋体" w:hAnsi="宋体"/>
          <w:kern w:val="1"/>
          <w:sz w:val="28"/>
          <w:szCs w:val="28"/>
          <w:u w:val="single"/>
        </w:rPr>
        <w:t xml:space="preserve"> </w:t>
      </w:r>
    </w:p>
    <w:p>
      <w:pPr>
        <w:spacing w:line="420" w:lineRule="exact"/>
        <w:rPr>
          <w:rFonts w:hint="eastAsia"/>
        </w:rPr>
      </w:pPr>
    </w:p>
    <w:p>
      <w:pPr>
        <w:spacing w:line="420" w:lineRule="exact"/>
        <w:jc w:val="center"/>
        <w:outlineLvl w:val="0"/>
        <w:rPr>
          <w:rFonts w:hint="eastAsia" w:ascii="宋体" w:hAnsi="宋体"/>
          <w:sz w:val="24"/>
        </w:rPr>
      </w:pPr>
      <w:r>
        <w:br w:type="page"/>
      </w:r>
    </w:p>
    <w:p>
      <w:pPr>
        <w:spacing w:line="420" w:lineRule="exact"/>
        <w:jc w:val="center"/>
        <w:outlineLvl w:val="0"/>
        <w:rPr>
          <w:rFonts w:hint="eastAsia" w:ascii="宋体" w:hAnsi="宋体"/>
          <w:b/>
          <w:bCs/>
          <w:sz w:val="28"/>
          <w:szCs w:val="28"/>
        </w:rPr>
      </w:pPr>
      <w:r>
        <w:rPr>
          <w:rFonts w:hint="eastAsia" w:ascii="宋体" w:hAnsi="宋体"/>
          <w:b/>
          <w:bCs/>
          <w:sz w:val="28"/>
          <w:szCs w:val="28"/>
        </w:rPr>
        <w:t>开标一览表</w:t>
      </w:r>
    </w:p>
    <w:p>
      <w:pPr>
        <w:spacing w:line="420" w:lineRule="exact"/>
        <w:outlineLvl w:val="0"/>
        <w:rPr>
          <w:rFonts w:hint="eastAsia" w:ascii="宋体" w:hAnsi="宋体" w:cs="宋体"/>
          <w:sz w:val="28"/>
          <w:szCs w:val="28"/>
        </w:rPr>
      </w:pPr>
      <w:r>
        <w:rPr>
          <w:rFonts w:hint="eastAsia" w:ascii="宋体" w:hAnsi="宋体"/>
          <w:b/>
          <w:bCs/>
          <w:sz w:val="28"/>
          <w:szCs w:val="28"/>
        </w:rPr>
        <mc:AlternateContent>
          <mc:Choice Requires="wps">
            <w:drawing>
              <wp:anchor distT="0" distB="0" distL="114300" distR="114300" simplePos="0" relativeHeight="251662336" behindDoc="0" locked="0" layoutInCell="1" allowOverlap="1">
                <wp:simplePos x="0" y="0"/>
                <wp:positionH relativeFrom="column">
                  <wp:posOffset>-304800</wp:posOffset>
                </wp:positionH>
                <wp:positionV relativeFrom="paragraph">
                  <wp:posOffset>-405765</wp:posOffset>
                </wp:positionV>
                <wp:extent cx="860425" cy="476250"/>
                <wp:effectExtent l="0" t="0" r="15875" b="0"/>
                <wp:wrapNone/>
                <wp:docPr id="5" name="文本框 5"/>
                <wp:cNvGraphicFramePr/>
                <a:graphic xmlns:a="http://schemas.openxmlformats.org/drawingml/2006/main">
                  <a:graphicData uri="http://schemas.microsoft.com/office/word/2010/wordprocessingShape">
                    <wps:wsp>
                      <wps:cNvSpPr txBox="1"/>
                      <wps:spPr>
                        <a:xfrm>
                          <a:off x="0" y="0"/>
                          <a:ext cx="860425" cy="476250"/>
                        </a:xfrm>
                        <a:prstGeom prst="rect">
                          <a:avLst/>
                        </a:prstGeom>
                        <a:solidFill>
                          <a:srgbClr val="FFFFFF"/>
                        </a:solidFill>
                        <a:ln>
                          <a:noFill/>
                        </a:ln>
                      </wps:spPr>
                      <wps:txbx>
                        <w:txbxContent>
                          <w:p>
                            <w:r>
                              <w:rPr>
                                <w:rFonts w:hint="eastAsia"/>
                                <w:lang w:val="zh-CN"/>
                              </w:rPr>
                              <w:t>附件5</w:t>
                            </w:r>
                          </w:p>
                        </w:txbxContent>
                      </wps:txbx>
                      <wps:bodyPr upright="1"/>
                    </wps:wsp>
                  </a:graphicData>
                </a:graphic>
              </wp:anchor>
            </w:drawing>
          </mc:Choice>
          <mc:Fallback>
            <w:pict>
              <v:shape id="_x0000_s1026" o:spid="_x0000_s1026" o:spt="202" type="#_x0000_t202" style="position:absolute;left:0pt;margin-left:-24pt;margin-top:-31.95pt;height:37.5pt;width:67.75pt;z-index:251662336;mso-width-relative:margin;mso-height-relative:margin;" stroked="f" coordsize="21600,21600" o:gfxdata="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adV71wAAAAkBAAAPAAAAAAAAAAEAIAAAACIAAABkcnMvZG93bnJldi54&#10;bWxQSwECFAAUAAAACACHTuJA3ZQKe8IBAAB2AwAADgAAAAAAAAABACAAAAAmAQAAZHJzL2Uyb0Rv&#10;Yy54bWxQSwUGAAAAAAYABgBZAQAAWgUAAAAA&#10;">
                <v:path/>
                <v:fill focussize="0,0"/>
                <v:stroke on="f"/>
                <v:imagedata o:title=""/>
                <o:lock v:ext="edit"/>
                <v:textbox>
                  <w:txbxContent>
                    <w:p>
                      <w:r>
                        <w:rPr>
                          <w:rFonts w:hint="eastAsia"/>
                          <w:lang w:val="zh-CN"/>
                        </w:rPr>
                        <w:t>附件5</w:t>
                      </w:r>
                    </w:p>
                  </w:txbxContent>
                </v:textbox>
              </v:shape>
            </w:pict>
          </mc:Fallback>
        </mc:AlternateContent>
      </w:r>
    </w:p>
    <w:p>
      <w:pPr>
        <w:spacing w:line="420" w:lineRule="exact"/>
        <w:ind w:left="1196" w:leftChars="-36" w:hanging="1272" w:hangingChars="530"/>
        <w:jc w:val="left"/>
        <w:rPr>
          <w:rFonts w:hint="eastAsia" w:ascii="宋体" w:hAnsi="宋体"/>
          <w:sz w:val="24"/>
        </w:rPr>
      </w:pPr>
      <w:r>
        <w:rPr>
          <w:rFonts w:ascii="宋体" w:hAnsi="宋体"/>
          <w:sz w:val="24"/>
        </w:rPr>
        <w:t>项 目 名 称：</w:t>
      </w:r>
      <w:r>
        <w:rPr>
          <w:rFonts w:hint="eastAsia" w:ascii="宋体" w:hAnsi="宋体" w:cs="宋体"/>
          <w:sz w:val="24"/>
          <w:u w:val="single"/>
        </w:rPr>
        <w:t>南通创新区全民健身中心第三方合作培训机构招标项目  标段</w:t>
      </w:r>
      <w:r>
        <w:rPr>
          <w:rFonts w:hint="eastAsia" w:ascii="宋体" w:hAnsi="宋体"/>
          <w:sz w:val="24"/>
          <w:u w:val="single"/>
        </w:rPr>
        <w:t xml:space="preserve"> </w:t>
      </w:r>
      <w:r>
        <w:rPr>
          <w:rFonts w:hint="eastAsia" w:ascii="宋体" w:hAnsi="宋体"/>
          <w:sz w:val="24"/>
        </w:rPr>
        <w:t xml:space="preserve"> </w:t>
      </w:r>
    </w:p>
    <w:p>
      <w:pPr>
        <w:spacing w:line="420" w:lineRule="exact"/>
        <w:ind w:left="1196" w:leftChars="-36" w:hanging="1272" w:hangingChars="530"/>
        <w:jc w:val="left"/>
        <w:rPr>
          <w:rFonts w:hint="eastAsia" w:ascii="宋体" w:hAnsi="宋体"/>
          <w:sz w:val="24"/>
        </w:rPr>
      </w:pPr>
      <w:r>
        <w:rPr>
          <w:rFonts w:hint="eastAsia" w:ascii="宋体" w:hAnsi="宋体"/>
          <w:sz w:val="24"/>
        </w:rPr>
        <w:t xml:space="preserve">                                      </w:t>
      </w:r>
    </w:p>
    <w:tbl>
      <w:tblPr>
        <w:tblStyle w:val="7"/>
        <w:tblW w:w="9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756"/>
        <w:gridCol w:w="2403"/>
        <w:gridCol w:w="2350"/>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829" w:type="dxa"/>
            <w:vMerge w:val="restart"/>
            <w:noWrap w:val="0"/>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标段名称</w:t>
            </w:r>
          </w:p>
        </w:tc>
        <w:tc>
          <w:tcPr>
            <w:tcW w:w="1756" w:type="dxa"/>
            <w:vMerge w:val="restart"/>
            <w:noWrap w:val="0"/>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项目类型</w:t>
            </w:r>
          </w:p>
        </w:tc>
        <w:tc>
          <w:tcPr>
            <w:tcW w:w="4753" w:type="dxa"/>
            <w:gridSpan w:val="2"/>
            <w:noWrap w:val="0"/>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分成比例</w:t>
            </w:r>
          </w:p>
        </w:tc>
        <w:tc>
          <w:tcPr>
            <w:tcW w:w="1994" w:type="dxa"/>
            <w:vMerge w:val="restart"/>
            <w:noWrap w:val="0"/>
            <w:vAlign w:val="center"/>
          </w:tcPr>
          <w:p>
            <w:pPr>
              <w:widowControl/>
              <w:adjustRightInd w:val="0"/>
              <w:snapToGrid w:val="0"/>
              <w:jc w:val="center"/>
              <w:rPr>
                <w:rFonts w:ascii="宋体" w:hAnsi="宋体"/>
                <w:bCs/>
                <w:color w:val="000000"/>
                <w:kern w:val="0"/>
                <w:sz w:val="24"/>
              </w:rPr>
            </w:pPr>
            <w:r>
              <w:rPr>
                <w:rFonts w:ascii="宋体" w:hAnsi="宋体"/>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9" w:type="dxa"/>
            <w:vMerge w:val="continue"/>
            <w:noWrap w:val="0"/>
            <w:vAlign w:val="center"/>
          </w:tcPr>
          <w:p>
            <w:pPr>
              <w:widowControl/>
              <w:adjustRightInd w:val="0"/>
              <w:snapToGrid w:val="0"/>
              <w:jc w:val="center"/>
              <w:rPr>
                <w:rFonts w:ascii="宋体" w:hAnsi="宋体"/>
                <w:bCs/>
                <w:color w:val="000000"/>
                <w:kern w:val="0"/>
                <w:sz w:val="24"/>
              </w:rPr>
            </w:pPr>
          </w:p>
        </w:tc>
        <w:tc>
          <w:tcPr>
            <w:tcW w:w="1756" w:type="dxa"/>
            <w:vMerge w:val="continue"/>
            <w:noWrap w:val="0"/>
            <w:vAlign w:val="center"/>
          </w:tcPr>
          <w:p>
            <w:pPr>
              <w:widowControl/>
              <w:adjustRightInd w:val="0"/>
              <w:snapToGrid w:val="0"/>
              <w:jc w:val="center"/>
              <w:rPr>
                <w:rFonts w:ascii="宋体" w:hAnsi="宋体"/>
                <w:bCs/>
                <w:color w:val="000000"/>
                <w:kern w:val="0"/>
                <w:sz w:val="24"/>
              </w:rPr>
            </w:pPr>
          </w:p>
        </w:tc>
        <w:tc>
          <w:tcPr>
            <w:tcW w:w="2403" w:type="dxa"/>
            <w:noWrap w:val="0"/>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招标人（%）</w:t>
            </w:r>
          </w:p>
        </w:tc>
        <w:tc>
          <w:tcPr>
            <w:tcW w:w="2350" w:type="dxa"/>
            <w:noWrap w:val="0"/>
            <w:vAlign w:val="center"/>
          </w:tcPr>
          <w:p>
            <w:pPr>
              <w:widowControl/>
              <w:adjustRightInd w:val="0"/>
              <w:snapToGrid w:val="0"/>
              <w:jc w:val="center"/>
              <w:rPr>
                <w:rFonts w:ascii="宋体" w:hAnsi="宋体"/>
                <w:bCs/>
                <w:color w:val="000000"/>
                <w:kern w:val="0"/>
                <w:sz w:val="24"/>
              </w:rPr>
            </w:pPr>
            <w:r>
              <w:rPr>
                <w:rFonts w:hint="eastAsia" w:ascii="宋体" w:hAnsi="宋体"/>
                <w:bCs/>
                <w:color w:val="000000"/>
                <w:kern w:val="0"/>
                <w:sz w:val="24"/>
              </w:rPr>
              <w:t>投标人（%）</w:t>
            </w:r>
          </w:p>
        </w:tc>
        <w:tc>
          <w:tcPr>
            <w:tcW w:w="1994" w:type="dxa"/>
            <w:vMerge w:val="continue"/>
            <w:noWrap w:val="0"/>
            <w:vAlign w:val="top"/>
          </w:tcPr>
          <w:p>
            <w:pPr>
              <w:widowControl/>
              <w:adjustRightInd w:val="0"/>
              <w:snapToGrid w:val="0"/>
              <w:jc w:val="center"/>
              <w:rPr>
                <w:rFonts w:ascii="宋体" w:hAnsi="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829" w:type="dxa"/>
            <w:noWrap w:val="0"/>
            <w:vAlign w:val="top"/>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一</w:t>
            </w:r>
          </w:p>
        </w:tc>
        <w:tc>
          <w:tcPr>
            <w:tcW w:w="1756" w:type="dxa"/>
            <w:noWrap w:val="0"/>
            <w:vAlign w:val="top"/>
          </w:tcPr>
          <w:p>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网球</w:t>
            </w:r>
          </w:p>
        </w:tc>
        <w:tc>
          <w:tcPr>
            <w:tcW w:w="2403" w:type="dxa"/>
            <w:noWrap w:val="0"/>
            <w:vAlign w:val="top"/>
          </w:tcPr>
          <w:p>
            <w:pPr>
              <w:widowControl/>
              <w:adjustRightInd w:val="0"/>
              <w:snapToGrid w:val="0"/>
              <w:spacing w:line="590" w:lineRule="exact"/>
              <w:jc w:val="center"/>
              <w:rPr>
                <w:rFonts w:ascii="宋体" w:hAnsi="宋体"/>
                <w:bCs/>
                <w:color w:val="000000"/>
                <w:kern w:val="0"/>
                <w:sz w:val="24"/>
              </w:rPr>
            </w:pPr>
          </w:p>
        </w:tc>
        <w:tc>
          <w:tcPr>
            <w:tcW w:w="2350" w:type="dxa"/>
            <w:noWrap w:val="0"/>
            <w:vAlign w:val="top"/>
          </w:tcPr>
          <w:p>
            <w:pPr>
              <w:widowControl/>
              <w:adjustRightInd w:val="0"/>
              <w:snapToGrid w:val="0"/>
              <w:spacing w:line="590" w:lineRule="exact"/>
              <w:jc w:val="center"/>
              <w:rPr>
                <w:rFonts w:ascii="宋体" w:hAnsi="宋体"/>
                <w:bCs/>
                <w:color w:val="000000"/>
                <w:kern w:val="0"/>
                <w:sz w:val="24"/>
              </w:rPr>
            </w:pPr>
          </w:p>
        </w:tc>
        <w:tc>
          <w:tcPr>
            <w:tcW w:w="1994" w:type="dxa"/>
            <w:vMerge w:val="restart"/>
            <w:noWrap w:val="0"/>
            <w:vAlign w:val="center"/>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招标人、投标人比例合计为100%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29" w:type="dxa"/>
            <w:noWrap w:val="0"/>
            <w:vAlign w:val="top"/>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二</w:t>
            </w:r>
          </w:p>
        </w:tc>
        <w:tc>
          <w:tcPr>
            <w:tcW w:w="1756" w:type="dxa"/>
            <w:noWrap w:val="0"/>
            <w:vAlign w:val="top"/>
          </w:tcPr>
          <w:p>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足球</w:t>
            </w:r>
          </w:p>
        </w:tc>
        <w:tc>
          <w:tcPr>
            <w:tcW w:w="2403" w:type="dxa"/>
            <w:noWrap w:val="0"/>
            <w:vAlign w:val="top"/>
          </w:tcPr>
          <w:p>
            <w:pPr>
              <w:widowControl/>
              <w:adjustRightInd w:val="0"/>
              <w:snapToGrid w:val="0"/>
              <w:spacing w:line="590" w:lineRule="exact"/>
              <w:jc w:val="center"/>
              <w:rPr>
                <w:rFonts w:ascii="宋体" w:hAnsi="宋体"/>
                <w:bCs/>
                <w:color w:val="000000"/>
                <w:kern w:val="0"/>
                <w:sz w:val="24"/>
              </w:rPr>
            </w:pPr>
          </w:p>
        </w:tc>
        <w:tc>
          <w:tcPr>
            <w:tcW w:w="2350" w:type="dxa"/>
            <w:noWrap w:val="0"/>
            <w:vAlign w:val="top"/>
          </w:tcPr>
          <w:p>
            <w:pPr>
              <w:widowControl/>
              <w:adjustRightInd w:val="0"/>
              <w:snapToGrid w:val="0"/>
              <w:spacing w:line="590" w:lineRule="exact"/>
              <w:jc w:val="center"/>
              <w:rPr>
                <w:rFonts w:ascii="宋体" w:hAnsi="宋体"/>
                <w:bCs/>
                <w:color w:val="000000"/>
                <w:kern w:val="0"/>
                <w:sz w:val="24"/>
              </w:rPr>
            </w:pPr>
          </w:p>
        </w:tc>
        <w:tc>
          <w:tcPr>
            <w:tcW w:w="1994" w:type="dxa"/>
            <w:vMerge w:val="continue"/>
            <w:noWrap w:val="0"/>
            <w:vAlign w:val="center"/>
          </w:tcPr>
          <w:p>
            <w:pPr>
              <w:widowControl/>
              <w:adjustRightInd w:val="0"/>
              <w:snapToGrid w:val="0"/>
              <w:spacing w:line="590" w:lineRule="exact"/>
              <w:jc w:val="center"/>
              <w:rPr>
                <w:rFonts w:ascii="宋体" w:hAnsi="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29" w:type="dxa"/>
            <w:noWrap w:val="0"/>
            <w:vAlign w:val="top"/>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三</w:t>
            </w:r>
          </w:p>
        </w:tc>
        <w:tc>
          <w:tcPr>
            <w:tcW w:w="1756" w:type="dxa"/>
            <w:noWrap w:val="0"/>
            <w:vAlign w:val="top"/>
          </w:tcPr>
          <w:p>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羽毛球</w:t>
            </w:r>
          </w:p>
        </w:tc>
        <w:tc>
          <w:tcPr>
            <w:tcW w:w="2403" w:type="dxa"/>
            <w:noWrap w:val="0"/>
            <w:vAlign w:val="top"/>
          </w:tcPr>
          <w:p>
            <w:pPr>
              <w:widowControl/>
              <w:adjustRightInd w:val="0"/>
              <w:snapToGrid w:val="0"/>
              <w:spacing w:line="590" w:lineRule="exact"/>
              <w:jc w:val="center"/>
              <w:rPr>
                <w:rFonts w:ascii="宋体" w:hAnsi="宋体"/>
                <w:bCs/>
                <w:color w:val="000000"/>
                <w:kern w:val="0"/>
                <w:sz w:val="24"/>
              </w:rPr>
            </w:pPr>
          </w:p>
        </w:tc>
        <w:tc>
          <w:tcPr>
            <w:tcW w:w="2350" w:type="dxa"/>
            <w:noWrap w:val="0"/>
            <w:vAlign w:val="top"/>
          </w:tcPr>
          <w:p>
            <w:pPr>
              <w:widowControl/>
              <w:adjustRightInd w:val="0"/>
              <w:snapToGrid w:val="0"/>
              <w:spacing w:line="590" w:lineRule="exact"/>
              <w:jc w:val="center"/>
              <w:rPr>
                <w:rFonts w:ascii="宋体" w:hAnsi="宋体"/>
                <w:bCs/>
                <w:color w:val="000000"/>
                <w:kern w:val="0"/>
                <w:sz w:val="24"/>
              </w:rPr>
            </w:pPr>
          </w:p>
        </w:tc>
        <w:tc>
          <w:tcPr>
            <w:tcW w:w="1994" w:type="dxa"/>
            <w:vMerge w:val="continue"/>
            <w:noWrap w:val="0"/>
            <w:vAlign w:val="center"/>
          </w:tcPr>
          <w:p>
            <w:pPr>
              <w:widowControl/>
              <w:adjustRightInd w:val="0"/>
              <w:snapToGrid w:val="0"/>
              <w:spacing w:line="590" w:lineRule="exact"/>
              <w:jc w:val="center"/>
              <w:rPr>
                <w:rFonts w:ascii="宋体" w:hAnsi="宋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29" w:type="dxa"/>
            <w:noWrap w:val="0"/>
            <w:vAlign w:val="top"/>
          </w:tcPr>
          <w:p>
            <w:pPr>
              <w:widowControl/>
              <w:adjustRightInd w:val="0"/>
              <w:snapToGrid w:val="0"/>
              <w:spacing w:line="590" w:lineRule="exact"/>
              <w:jc w:val="center"/>
              <w:rPr>
                <w:rFonts w:ascii="宋体" w:hAnsi="宋体"/>
                <w:bCs/>
                <w:color w:val="000000"/>
                <w:kern w:val="0"/>
                <w:sz w:val="24"/>
              </w:rPr>
            </w:pPr>
            <w:r>
              <w:rPr>
                <w:rFonts w:hint="eastAsia" w:ascii="宋体" w:hAnsi="宋体"/>
                <w:bCs/>
                <w:color w:val="000000"/>
                <w:kern w:val="0"/>
                <w:sz w:val="24"/>
              </w:rPr>
              <w:t>四</w:t>
            </w:r>
          </w:p>
        </w:tc>
        <w:tc>
          <w:tcPr>
            <w:tcW w:w="1756" w:type="dxa"/>
            <w:noWrap w:val="0"/>
            <w:vAlign w:val="top"/>
          </w:tcPr>
          <w:p>
            <w:pPr>
              <w:widowControl/>
              <w:adjustRightInd w:val="0"/>
              <w:snapToGrid w:val="0"/>
              <w:spacing w:line="590" w:lineRule="exact"/>
              <w:jc w:val="center"/>
              <w:rPr>
                <w:rFonts w:ascii="宋体" w:hAnsi="宋体"/>
                <w:bCs/>
                <w:color w:val="000000"/>
                <w:kern w:val="0"/>
                <w:sz w:val="24"/>
              </w:rPr>
            </w:pPr>
            <w:r>
              <w:rPr>
                <w:rFonts w:ascii="宋体" w:hAnsi="宋体"/>
                <w:bCs/>
                <w:color w:val="000000"/>
                <w:kern w:val="0"/>
                <w:sz w:val="24"/>
              </w:rPr>
              <w:t>乒乓球</w:t>
            </w:r>
          </w:p>
        </w:tc>
        <w:tc>
          <w:tcPr>
            <w:tcW w:w="2403" w:type="dxa"/>
            <w:noWrap w:val="0"/>
            <w:vAlign w:val="top"/>
          </w:tcPr>
          <w:p>
            <w:pPr>
              <w:widowControl/>
              <w:adjustRightInd w:val="0"/>
              <w:snapToGrid w:val="0"/>
              <w:spacing w:line="590" w:lineRule="exact"/>
              <w:jc w:val="center"/>
              <w:rPr>
                <w:rFonts w:ascii="宋体" w:hAnsi="宋体"/>
                <w:bCs/>
                <w:color w:val="000000"/>
                <w:kern w:val="0"/>
                <w:sz w:val="24"/>
              </w:rPr>
            </w:pPr>
          </w:p>
        </w:tc>
        <w:tc>
          <w:tcPr>
            <w:tcW w:w="2350" w:type="dxa"/>
            <w:noWrap w:val="0"/>
            <w:vAlign w:val="top"/>
          </w:tcPr>
          <w:p>
            <w:pPr>
              <w:widowControl/>
              <w:adjustRightInd w:val="0"/>
              <w:snapToGrid w:val="0"/>
              <w:spacing w:line="590" w:lineRule="exact"/>
              <w:jc w:val="center"/>
              <w:rPr>
                <w:rFonts w:ascii="宋体" w:hAnsi="宋体"/>
                <w:bCs/>
                <w:color w:val="000000"/>
                <w:kern w:val="0"/>
                <w:sz w:val="24"/>
              </w:rPr>
            </w:pPr>
          </w:p>
        </w:tc>
        <w:tc>
          <w:tcPr>
            <w:tcW w:w="1994" w:type="dxa"/>
            <w:vMerge w:val="continue"/>
            <w:noWrap w:val="0"/>
            <w:vAlign w:val="center"/>
          </w:tcPr>
          <w:p>
            <w:pPr>
              <w:widowControl/>
              <w:adjustRightInd w:val="0"/>
              <w:snapToGrid w:val="0"/>
              <w:spacing w:line="590" w:lineRule="exact"/>
              <w:jc w:val="center"/>
              <w:rPr>
                <w:rFonts w:ascii="宋体" w:hAnsi="宋体"/>
                <w:bCs/>
                <w:color w:val="000000"/>
                <w:kern w:val="0"/>
                <w:sz w:val="24"/>
              </w:rPr>
            </w:pPr>
          </w:p>
        </w:tc>
      </w:tr>
    </w:tbl>
    <w:p>
      <w:pPr>
        <w:spacing w:line="420" w:lineRule="exact"/>
        <w:ind w:left="1408" w:leftChars="-36" w:hanging="1484" w:hangingChars="530"/>
        <w:jc w:val="left"/>
        <w:rPr>
          <w:rFonts w:hint="eastAsia" w:ascii="宋体" w:hAnsi="宋体"/>
          <w:sz w:val="28"/>
          <w:szCs w:val="28"/>
          <w:u w:val="single"/>
        </w:rPr>
      </w:pPr>
    </w:p>
    <w:p>
      <w:pPr>
        <w:suppressAutoHyphens/>
        <w:spacing w:line="420" w:lineRule="exact"/>
        <w:ind w:firstLine="2409" w:firstLineChars="1004"/>
        <w:jc w:val="left"/>
        <w:rPr>
          <w:rFonts w:ascii="宋体" w:hAnsi="宋体"/>
          <w:kern w:val="1"/>
          <w:sz w:val="24"/>
          <w:u w:val="single"/>
        </w:rPr>
      </w:pPr>
      <w:r>
        <w:rPr>
          <w:rFonts w:hint="eastAsia" w:ascii="宋体" w:hAnsi="宋体"/>
          <w:kern w:val="1"/>
          <w:sz w:val="24"/>
        </w:rPr>
        <w:t>投标</w:t>
      </w:r>
      <w:r>
        <w:rPr>
          <w:rFonts w:ascii="宋体" w:hAnsi="宋体"/>
          <w:kern w:val="1"/>
          <w:sz w:val="24"/>
        </w:rPr>
        <w:t>人名称(公章)：</w:t>
      </w:r>
      <w:r>
        <w:rPr>
          <w:rFonts w:ascii="宋体" w:hAnsi="宋体"/>
          <w:kern w:val="1"/>
          <w:sz w:val="24"/>
          <w:u w:val="single"/>
        </w:rPr>
        <w:t xml:space="preserve">                               </w:t>
      </w:r>
    </w:p>
    <w:p>
      <w:pPr>
        <w:suppressAutoHyphens/>
        <w:spacing w:line="420" w:lineRule="exact"/>
        <w:ind w:firstLine="2409" w:firstLineChars="1004"/>
        <w:jc w:val="left"/>
        <w:rPr>
          <w:rFonts w:ascii="宋体" w:hAnsi="宋体"/>
          <w:kern w:val="1"/>
          <w:sz w:val="24"/>
          <w:u w:val="single"/>
        </w:rPr>
      </w:pPr>
      <w:r>
        <w:rPr>
          <w:rFonts w:ascii="宋体" w:hAnsi="宋体"/>
          <w:kern w:val="1"/>
          <w:sz w:val="24"/>
        </w:rPr>
        <w:t>法定代表人或授权代表（签字）：</w:t>
      </w:r>
      <w:r>
        <w:rPr>
          <w:rFonts w:ascii="宋体" w:hAnsi="宋体"/>
          <w:kern w:val="1"/>
          <w:sz w:val="24"/>
          <w:u w:val="single"/>
        </w:rPr>
        <w:t xml:space="preserve">                    </w:t>
      </w:r>
    </w:p>
    <w:p>
      <w:pPr>
        <w:spacing w:line="420" w:lineRule="exact"/>
        <w:ind w:firstLine="2409" w:firstLineChars="1004"/>
        <w:jc w:val="left"/>
        <w:rPr>
          <w:rFonts w:ascii="宋体" w:hAnsi="宋体"/>
          <w:kern w:val="1"/>
          <w:sz w:val="28"/>
          <w:szCs w:val="28"/>
          <w:u w:val="single"/>
        </w:rPr>
      </w:pPr>
      <w:r>
        <w:rPr>
          <w:rFonts w:ascii="宋体" w:hAnsi="宋体"/>
          <w:sz w:val="24"/>
        </w:rPr>
        <w:t xml:space="preserve">日        期： </w:t>
      </w:r>
      <w:r>
        <w:rPr>
          <w:rFonts w:ascii="宋体" w:hAnsi="宋体"/>
          <w:kern w:val="1"/>
          <w:sz w:val="24"/>
          <w:u w:val="single"/>
        </w:rPr>
        <w:t xml:space="preserve">                         </w:t>
      </w:r>
      <w:r>
        <w:rPr>
          <w:rFonts w:ascii="宋体" w:hAnsi="宋体"/>
          <w:kern w:val="1"/>
          <w:sz w:val="28"/>
          <w:szCs w:val="28"/>
          <w:u w:val="single"/>
        </w:rPr>
        <w:t xml:space="preserve">         </w:t>
      </w:r>
    </w:p>
    <w:p>
      <w:bookmarkStart w:id="23" w:name="_GoBack"/>
      <w:bookmarkEnd w:id="2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706"/>
        <w:tab w:val="clear" w:pos="4153"/>
        <w:tab w:val="clear" w:pos="8306"/>
      </w:tabs>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lang w:eastAsia="zh-CN"/>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path/>
              <v:fill on="f" focussize="0,0"/>
              <v:stroke on="f"/>
              <v:imagedata o:title=""/>
              <o:lock v:ext="edit" aspectratio="f"/>
              <v:textbox inset="0mm,0mm,0mm,0mm" style="mso-fit-shape-to-text:t;">
                <w:txbxContent>
                  <w:p>
                    <w:pPr>
                      <w:pStyle w:val="6"/>
                      <w:rPr>
                        <w:rFonts w:hint="eastAsia"/>
                        <w:lang w:eastAsia="zh-CN"/>
                      </w:rPr>
                    </w:pPr>
                  </w:p>
                </w:txbxContent>
              </v:textbox>
            </v:shape>
          </w:pict>
        </mc:Fallback>
      </mc:AlternateContent>
    </w:r>
    <w:r>
      <w:rPr>
        <w:lang w:eastAsia="zh-CN"/>
      </w:rPr>
      <w:tab/>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A46489"/>
    <w:rsid w:val="6EA46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textAlignment w:val="baseline"/>
    </w:pPr>
    <w:rPr>
      <w:kern w:val="0"/>
      <w:sz w:val="24"/>
    </w:rPr>
  </w:style>
  <w:style w:type="paragraph" w:styleId="3">
    <w:name w:val="Body Text Indent"/>
    <w:basedOn w:val="1"/>
    <w:unhideWhenUsed/>
    <w:qFormat/>
    <w:uiPriority w:val="99"/>
    <w:pPr>
      <w:spacing w:after="120"/>
      <w:ind w:left="420" w:leftChars="200"/>
    </w:pPr>
  </w:style>
  <w:style w:type="paragraph" w:styleId="4">
    <w:name w:val="Plain Text"/>
    <w:basedOn w:val="1"/>
    <w:qFormat/>
    <w:uiPriority w:val="0"/>
    <w:rPr>
      <w:rFonts w:ascii="宋体" w:hAnsi="Courier New"/>
      <w:szCs w:val="21"/>
    </w:rPr>
  </w:style>
  <w:style w:type="paragraph" w:styleId="5">
    <w:name w:val="Body Text Indent 2"/>
    <w:basedOn w:val="1"/>
    <w:qFormat/>
    <w:uiPriority w:val="99"/>
    <w:pPr>
      <w:spacing w:after="120" w:line="480" w:lineRule="auto"/>
      <w:ind w:left="420" w:leftChars="200"/>
    </w:pPr>
    <w:rPr>
      <w:kern w:val="0"/>
      <w:sz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character" w:styleId="9">
    <w:name w:val="Hyperlink"/>
    <w:unhideWhenUsed/>
    <w:qFormat/>
    <w:uiPriority w:val="99"/>
    <w:rPr>
      <w:color w:val="0000FF"/>
      <w:u w:val="single"/>
    </w:rPr>
  </w:style>
  <w:style w:type="paragraph" w:customStyle="1" w:styleId="1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11">
    <w:name w:val="正文缩进2格"/>
    <w:basedOn w:val="1"/>
    <w:uiPriority w:val="0"/>
    <w:pPr>
      <w:spacing w:line="600" w:lineRule="exact"/>
      <w:ind w:firstLine="639" w:firstLineChars="206"/>
    </w:pPr>
    <w:rPr>
      <w:rFonts w:ascii="仿宋_GB2312" w:hAnsi="宋体" w:eastAsia="仿宋_GB2312"/>
      <w:kern w:val="0"/>
      <w:sz w:val="31"/>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2022-01-12T06:29:00Z</dcterms:created>
  <dc:creator>胡巴胡巴</dc:creator>
  <cp:lastModifiedBy>胡巴胡巴</cp:lastModifiedBy>
  <dcterms:modified xsi:type="dcterms:W3CDTF">2022-01-12T06:31:11Z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15FF47466C7644708071CF6380541A7E</vt:lpwstr>
  </property>
</Properties>
</file>